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7C7FA" w14:textId="226E9203" w:rsidR="00F9572C" w:rsidRPr="00067578" w:rsidRDefault="0043615B" w:rsidP="00067578">
      <w:pPr>
        <w:jc w:val="center"/>
        <w:rPr>
          <w:b/>
          <w:color w:val="auto"/>
          <w:sz w:val="36"/>
          <w:szCs w:val="36"/>
        </w:rPr>
      </w:pPr>
      <w:r>
        <w:rPr>
          <w:rFonts w:hint="eastAsia"/>
          <w:b/>
          <w:color w:val="auto"/>
          <w:sz w:val="36"/>
          <w:szCs w:val="36"/>
        </w:rPr>
        <w:t>A</w:t>
      </w:r>
      <w:r w:rsidR="001D4A7D">
        <w:rPr>
          <w:rFonts w:hint="eastAsia"/>
          <w:b/>
          <w:color w:val="auto"/>
          <w:sz w:val="36"/>
          <w:szCs w:val="36"/>
        </w:rPr>
        <w:t xml:space="preserve">. </w:t>
      </w:r>
      <w:r w:rsidR="001D4A7D" w:rsidRPr="00067578">
        <w:rPr>
          <w:b/>
          <w:color w:val="auto"/>
          <w:sz w:val="36"/>
          <w:szCs w:val="36"/>
        </w:rPr>
        <w:t>Inconsistencies</w:t>
      </w:r>
      <w:bookmarkStart w:id="0" w:name="_GoBack"/>
      <w:bookmarkEnd w:id="0"/>
      <w:r w:rsidR="001D4A7D" w:rsidRPr="00067578">
        <w:rPr>
          <w:b/>
          <w:color w:val="auto"/>
          <w:sz w:val="36"/>
          <w:szCs w:val="36"/>
        </w:rPr>
        <w:t xml:space="preserve"> </w:t>
      </w:r>
      <w:r w:rsidR="00F9572C" w:rsidRPr="00067578">
        <w:rPr>
          <w:b/>
          <w:color w:val="auto"/>
          <w:sz w:val="36"/>
          <w:szCs w:val="36"/>
        </w:rPr>
        <w:t>in the GENIA Corpus</w:t>
      </w:r>
    </w:p>
    <w:p w14:paraId="2BEFB849" w14:textId="48EB70BA" w:rsidR="00F9572C" w:rsidRPr="007F481A" w:rsidRDefault="00F9572C" w:rsidP="00F9572C">
      <w:pPr>
        <w:spacing w:line="360" w:lineRule="auto"/>
        <w:jc w:val="both"/>
      </w:pPr>
      <w:r w:rsidRPr="007F481A">
        <w:tab/>
        <w:t>GENIA corpus is collected by retrieving abstracts associated with specific MEDLINE query terms such as “</w:t>
      </w:r>
      <w:r w:rsidRPr="007F481A">
        <w:rPr>
          <w:i/>
        </w:rPr>
        <w:t>human</w:t>
      </w:r>
      <w:r w:rsidRPr="007F481A">
        <w:t>”, “</w:t>
      </w:r>
      <w:r w:rsidRPr="007F481A">
        <w:rPr>
          <w:i/>
        </w:rPr>
        <w:t>blood cells</w:t>
      </w:r>
      <w:r w:rsidRPr="007F481A">
        <w:t>” and “</w:t>
      </w:r>
      <w:r w:rsidRPr="007F481A">
        <w:rPr>
          <w:i/>
        </w:rPr>
        <w:t>transcription factors</w:t>
      </w:r>
      <w:r w:rsidRPr="007F481A">
        <w:t xml:space="preserve">”. Based on the GENIA ontology, the recruited knowledge is well-organized in this corpus. The release of the GENIA corpus promoted text-mining studies in the field of molecular biology and it serves as the seed </w:t>
      </w:r>
      <w:r w:rsidR="00022197">
        <w:t>for</w:t>
      </w:r>
      <w:r w:rsidRPr="007F481A">
        <w:t xml:space="preserve"> several tasks where truthful training and test sets can be constructed. For example, the JNLPBA 2004 shared task is derived from five super classes in the GENIA corpus, namely, protein, DNA, RNA, cell line and cell type. However, there are some </w:t>
      </w:r>
      <w:r w:rsidR="001D4A7D" w:rsidRPr="001D4A7D">
        <w:t>inconsistencies</w:t>
      </w:r>
      <w:r w:rsidRPr="007F481A">
        <w:t xml:space="preserve"> that may cause misunderstandings if one </w:t>
      </w:r>
      <w:proofErr w:type="gramStart"/>
      <w:r w:rsidRPr="007F481A">
        <w:t>attempt</w:t>
      </w:r>
      <w:r w:rsidR="00836048">
        <w:t>s</w:t>
      </w:r>
      <w:proofErr w:type="gramEnd"/>
      <w:r w:rsidRPr="007F481A">
        <w:t xml:space="preserve"> to map the entities back to the corresponding ID in standard databases or organize them into clusters. The </w:t>
      </w:r>
      <w:r w:rsidR="001D4A7D" w:rsidRPr="001D4A7D">
        <w:t>inconsistencies</w:t>
      </w:r>
      <w:r w:rsidRPr="007F481A">
        <w:t xml:space="preserve"> can be generally classified into five types, including the recruitments of general terms, unnecessary preceding words, entity type confusion, neglected adjacent clues, and missing annotations. The following paragraphs describe examples regarding each type of the confusions that ca</w:t>
      </w:r>
      <w:r w:rsidR="0002202A">
        <w:t>n be found in the GENIA corpus.</w:t>
      </w:r>
    </w:p>
    <w:p w14:paraId="267D82AA" w14:textId="77777777" w:rsidR="00F9572C" w:rsidRPr="007F481A" w:rsidRDefault="00F9572C" w:rsidP="00F9572C">
      <w:pPr>
        <w:spacing w:line="360" w:lineRule="auto"/>
        <w:jc w:val="both"/>
      </w:pPr>
    </w:p>
    <w:p w14:paraId="380A8BCD" w14:textId="77777777" w:rsidR="00F9572C" w:rsidRPr="007F481A" w:rsidRDefault="00F9572C" w:rsidP="00F9572C">
      <w:pPr>
        <w:spacing w:line="360" w:lineRule="auto"/>
        <w:jc w:val="both"/>
        <w:rPr>
          <w:b/>
        </w:rPr>
      </w:pPr>
      <w:r w:rsidRPr="007F481A">
        <w:rPr>
          <w:b/>
        </w:rPr>
        <w:t>The recruitments of general terms</w:t>
      </w:r>
    </w:p>
    <w:p w14:paraId="07A1FB5D" w14:textId="0B5074CD" w:rsidR="00F9572C" w:rsidRPr="007F481A" w:rsidRDefault="00F9572C" w:rsidP="00F9572C">
      <w:pPr>
        <w:spacing w:line="360" w:lineRule="auto"/>
        <w:ind w:firstLine="720"/>
        <w:jc w:val="both"/>
      </w:pPr>
      <w:r w:rsidRPr="007F481A">
        <w:t xml:space="preserve">Specific entities containing unique names can be clearly recognized in the database </w:t>
      </w:r>
      <w:proofErr w:type="gramStart"/>
      <w:r w:rsidRPr="007F481A">
        <w:t>or</w:t>
      </w:r>
      <w:proofErr w:type="gramEnd"/>
      <w:r w:rsidRPr="007F481A">
        <w:t xml:space="preserve"> certain groups they belong to, while some entities possess only general properties. It is </w:t>
      </w:r>
      <w:r w:rsidR="009D428E">
        <w:t>not appropriate</w:t>
      </w:r>
      <w:r w:rsidR="009D428E" w:rsidRPr="007F481A">
        <w:t xml:space="preserve"> </w:t>
      </w:r>
      <w:r w:rsidRPr="007F481A">
        <w:t xml:space="preserve">for the latter type to be assigned the same label as the former. </w:t>
      </w:r>
      <w:r w:rsidR="0002202A" w:rsidRPr="007F481A">
        <w:t>So,</w:t>
      </w:r>
      <w:r w:rsidRPr="007F481A">
        <w:t xml:space="preserve"> it is better to remove the so-called general terms or assign other tags to them.</w:t>
      </w:r>
    </w:p>
    <w:p w14:paraId="6C34C1A0" w14:textId="77777777" w:rsidR="00F9572C" w:rsidRPr="007F481A" w:rsidRDefault="00F9572C" w:rsidP="00F9572C">
      <w:pPr>
        <w:spacing w:line="360" w:lineRule="auto"/>
        <w:jc w:val="both"/>
      </w:pPr>
      <w:r w:rsidRPr="007F481A">
        <w:t>The following example expresses the appearance of general terms:</w:t>
      </w:r>
    </w:p>
    <w:p w14:paraId="3EF502B9" w14:textId="77777777" w:rsidR="00F9572C" w:rsidRPr="007F481A" w:rsidRDefault="00F9572C" w:rsidP="00F9572C">
      <w:pPr>
        <w:spacing w:line="360" w:lineRule="auto"/>
        <w:jc w:val="both"/>
        <w:rPr>
          <w:i/>
        </w:rPr>
      </w:pPr>
      <w:r w:rsidRPr="007F481A">
        <w:t>“</w:t>
      </w:r>
      <w:r w:rsidRPr="007F481A">
        <w:rPr>
          <w:i/>
        </w:rPr>
        <w:t xml:space="preserve">Substitution mutations in this </w:t>
      </w:r>
      <w:r w:rsidRPr="007F481A">
        <w:rPr>
          <w:b/>
          <w:i/>
        </w:rPr>
        <w:t>consensus sequence</w:t>
      </w:r>
      <w:r w:rsidRPr="007F481A">
        <w:rPr>
          <w:i/>
        </w:rPr>
        <w:t xml:space="preserve"> eliminate binding of the </w:t>
      </w:r>
      <w:r w:rsidRPr="007F481A">
        <w:rPr>
          <w:b/>
          <w:i/>
        </w:rPr>
        <w:t>inducible factor</w:t>
      </w:r>
      <w:r w:rsidRPr="007F481A">
        <w:rPr>
          <w:i/>
        </w:rPr>
        <w:t>.</w:t>
      </w:r>
      <w:r w:rsidRPr="007F481A">
        <w:t>”</w:t>
      </w:r>
    </w:p>
    <w:p w14:paraId="587646C0" w14:textId="77777777" w:rsidR="00F9572C" w:rsidRPr="007F481A" w:rsidRDefault="00F9572C" w:rsidP="00F9572C">
      <w:pPr>
        <w:spacing w:line="360" w:lineRule="auto"/>
        <w:jc w:val="right"/>
      </w:pPr>
      <w:r w:rsidRPr="007F481A">
        <w:rPr>
          <w:i/>
        </w:rPr>
        <w:t>MEDLINE: 97138389</w:t>
      </w:r>
    </w:p>
    <w:p w14:paraId="4C8521E5" w14:textId="41EFB4B2" w:rsidR="00F9572C" w:rsidRPr="007F481A" w:rsidRDefault="00F9572C" w:rsidP="00F9572C">
      <w:pPr>
        <w:spacing w:line="360" w:lineRule="auto"/>
        <w:ind w:firstLine="720"/>
        <w:jc w:val="both"/>
      </w:pPr>
      <w:r w:rsidRPr="007F481A">
        <w:t xml:space="preserve">The </w:t>
      </w:r>
      <w:r w:rsidRPr="007F481A">
        <w:rPr>
          <w:b/>
          <w:i/>
        </w:rPr>
        <w:t>bold terms</w:t>
      </w:r>
      <w:r w:rsidRPr="007F481A">
        <w:t xml:space="preserve"> are labeled as DNA and protein respectively in GENIA corpus but both of them lack the major features to become specific </w:t>
      </w:r>
      <w:r w:rsidR="00022197">
        <w:t>BNE</w:t>
      </w:r>
      <w:r w:rsidR="00022197" w:rsidRPr="007F481A">
        <w:t>s</w:t>
      </w:r>
      <w:r w:rsidRPr="007F481A">
        <w:t>.</w:t>
      </w:r>
    </w:p>
    <w:p w14:paraId="2A72287B" w14:textId="77777777" w:rsidR="00F9572C" w:rsidRPr="007F481A" w:rsidRDefault="00F9572C" w:rsidP="00F9572C">
      <w:pPr>
        <w:spacing w:line="360" w:lineRule="auto"/>
        <w:jc w:val="both"/>
      </w:pPr>
    </w:p>
    <w:p w14:paraId="7887CBCD" w14:textId="77777777" w:rsidR="00F9572C" w:rsidRPr="007F481A" w:rsidRDefault="00F9572C" w:rsidP="00F9572C">
      <w:pPr>
        <w:spacing w:line="360" w:lineRule="auto"/>
        <w:jc w:val="both"/>
        <w:rPr>
          <w:b/>
        </w:rPr>
      </w:pPr>
      <w:r w:rsidRPr="007F481A">
        <w:rPr>
          <w:b/>
        </w:rPr>
        <w:t>Unnecessary preceding words</w:t>
      </w:r>
    </w:p>
    <w:p w14:paraId="0CA25E81" w14:textId="60837C82" w:rsidR="00F9572C" w:rsidRPr="007F481A" w:rsidRDefault="00F9572C" w:rsidP="00F9572C">
      <w:pPr>
        <w:spacing w:line="360" w:lineRule="auto"/>
        <w:ind w:firstLine="720"/>
        <w:jc w:val="both"/>
      </w:pPr>
      <w:r w:rsidRPr="007F481A">
        <w:t>The information beyond entities often provides intrinsic properties or external status to make the entities more intact. The intrinsic information is important to assist the assignments of correct identities, so it is suitable to be recruited as part of entities. For example, “</w:t>
      </w:r>
      <w:r w:rsidRPr="007F481A">
        <w:rPr>
          <w:i/>
        </w:rPr>
        <w:t>human</w:t>
      </w:r>
      <w:r w:rsidRPr="007F481A">
        <w:t>” and “</w:t>
      </w:r>
      <w:r w:rsidRPr="007F481A">
        <w:rPr>
          <w:i/>
        </w:rPr>
        <w:t>murine</w:t>
      </w:r>
      <w:r w:rsidRPr="007F481A">
        <w:t>” can serve as the evidences to separate the same “</w:t>
      </w:r>
      <w:r w:rsidRPr="007F481A">
        <w:rPr>
          <w:i/>
        </w:rPr>
        <w:t>IL-2</w:t>
      </w:r>
      <w:r w:rsidRPr="007F481A">
        <w:t xml:space="preserve">” into different gene IDs. However, extrinsic information </w:t>
      </w:r>
      <w:r w:rsidR="009D428E">
        <w:t>sometimes could</w:t>
      </w:r>
      <w:r w:rsidR="009D428E" w:rsidRPr="007F481A">
        <w:t xml:space="preserve"> </w:t>
      </w:r>
      <w:r w:rsidRPr="007F481A">
        <w:t>depict additional properties that are not helpful when distinguishing these entities.</w:t>
      </w:r>
    </w:p>
    <w:p w14:paraId="4C10250C" w14:textId="2F4C60FE" w:rsidR="00F9572C" w:rsidRPr="007F481A" w:rsidRDefault="00F9572C" w:rsidP="00F9572C">
      <w:pPr>
        <w:spacing w:line="360" w:lineRule="auto"/>
        <w:jc w:val="both"/>
      </w:pPr>
      <w:r w:rsidRPr="007F481A">
        <w:t xml:space="preserve">The following instance </w:t>
      </w:r>
      <w:r w:rsidR="009D428E">
        <w:t>serves to illustrate</w:t>
      </w:r>
      <w:r w:rsidRPr="007F481A">
        <w:t xml:space="preserve"> this type of words:</w:t>
      </w:r>
    </w:p>
    <w:p w14:paraId="226A2151" w14:textId="77777777" w:rsidR="00F9572C" w:rsidRPr="007F481A" w:rsidRDefault="00F9572C" w:rsidP="00F9572C">
      <w:pPr>
        <w:spacing w:line="360" w:lineRule="auto"/>
        <w:jc w:val="both"/>
      </w:pPr>
      <w:r w:rsidRPr="007F481A">
        <w:t>“</w:t>
      </w:r>
      <w:r w:rsidRPr="007F481A">
        <w:rPr>
          <w:i/>
        </w:rPr>
        <w:t xml:space="preserve">Expression of </w:t>
      </w:r>
      <w:r w:rsidRPr="007F481A">
        <w:rPr>
          <w:b/>
          <w:i/>
        </w:rPr>
        <w:t xml:space="preserve">dominant negative MAPKK-1 </w:t>
      </w:r>
      <w:r w:rsidRPr="007F481A">
        <w:rPr>
          <w:i/>
        </w:rPr>
        <w:t>prevents NFAT induction.</w:t>
      </w:r>
      <w:r w:rsidRPr="007F481A">
        <w:t xml:space="preserve">” </w:t>
      </w:r>
    </w:p>
    <w:p w14:paraId="5C8CDFBD" w14:textId="77777777" w:rsidR="00F9572C" w:rsidRPr="007F481A" w:rsidRDefault="00F9572C" w:rsidP="00F9572C">
      <w:pPr>
        <w:spacing w:line="360" w:lineRule="auto"/>
        <w:jc w:val="right"/>
      </w:pPr>
      <w:r w:rsidRPr="007F481A">
        <w:rPr>
          <w:i/>
        </w:rPr>
        <w:lastRenderedPageBreak/>
        <w:t>MEDLINE: 96324400</w:t>
      </w:r>
    </w:p>
    <w:p w14:paraId="23704229" w14:textId="2031BAFB" w:rsidR="00F9572C" w:rsidRPr="007F481A" w:rsidRDefault="00F9572C" w:rsidP="00F9572C">
      <w:pPr>
        <w:spacing w:line="360" w:lineRule="auto"/>
        <w:ind w:firstLine="720"/>
        <w:jc w:val="both"/>
      </w:pPr>
      <w:r w:rsidRPr="007F481A">
        <w:t>“</w:t>
      </w:r>
      <w:r w:rsidRPr="007F481A">
        <w:rPr>
          <w:i/>
        </w:rPr>
        <w:t>MAPKK-1</w:t>
      </w:r>
      <w:r w:rsidRPr="007F481A">
        <w:t xml:space="preserve">” is the core of </w:t>
      </w:r>
      <w:r w:rsidRPr="007F481A">
        <w:rPr>
          <w:b/>
          <w:i/>
        </w:rPr>
        <w:t>bold terms</w:t>
      </w:r>
      <w:r w:rsidR="00022197" w:rsidRPr="004215C8">
        <w:t>,</w:t>
      </w:r>
      <w:r w:rsidRPr="007F481A">
        <w:t xml:space="preserve"> while “</w:t>
      </w:r>
      <w:r w:rsidRPr="007F481A">
        <w:rPr>
          <w:i/>
        </w:rPr>
        <w:t>dominant negative</w:t>
      </w:r>
      <w:r w:rsidRPr="007F481A">
        <w:t>” is regarded as a mutant type of protein. Th</w:t>
      </w:r>
      <w:r w:rsidR="00022197">
        <w:t xml:space="preserve">e latter </w:t>
      </w:r>
      <w:r w:rsidRPr="007F481A">
        <w:t>biological term carries no useful message if one tries to find the real source of “</w:t>
      </w:r>
      <w:r w:rsidRPr="007F481A">
        <w:rPr>
          <w:i/>
        </w:rPr>
        <w:t>MAPKK-1</w:t>
      </w:r>
      <w:r w:rsidRPr="007F481A">
        <w:t>”.</w:t>
      </w:r>
    </w:p>
    <w:p w14:paraId="24A6D2F9" w14:textId="77777777" w:rsidR="00F9572C" w:rsidRPr="007F481A" w:rsidRDefault="00F9572C" w:rsidP="00F9572C">
      <w:pPr>
        <w:spacing w:line="360" w:lineRule="auto"/>
        <w:jc w:val="both"/>
      </w:pPr>
    </w:p>
    <w:p w14:paraId="2EF85726" w14:textId="77777777" w:rsidR="00F9572C" w:rsidRPr="007F481A" w:rsidRDefault="00F9572C" w:rsidP="00F9572C">
      <w:pPr>
        <w:spacing w:line="360" w:lineRule="auto"/>
        <w:jc w:val="both"/>
        <w:rPr>
          <w:b/>
        </w:rPr>
      </w:pPr>
      <w:r w:rsidRPr="007F481A">
        <w:rPr>
          <w:b/>
        </w:rPr>
        <w:t>Entity type confusion</w:t>
      </w:r>
    </w:p>
    <w:p w14:paraId="08342B98" w14:textId="77777777" w:rsidR="00F9572C" w:rsidRPr="007F481A" w:rsidRDefault="00F9572C" w:rsidP="00F9572C">
      <w:pPr>
        <w:spacing w:line="360" w:lineRule="auto"/>
        <w:ind w:firstLine="720"/>
        <w:jc w:val="both"/>
      </w:pPr>
      <w:r w:rsidRPr="007F481A">
        <w:t>Some entity types in the GENIA corpus are related to each other, and this association may sometimes cause a misclassification of entity type. By comparing the following two sentences, it is clear that labels are inconsistent.</w:t>
      </w:r>
    </w:p>
    <w:p w14:paraId="54791114" w14:textId="77777777" w:rsidR="00F9572C" w:rsidRPr="007F481A" w:rsidRDefault="00F9572C" w:rsidP="00F9572C">
      <w:pPr>
        <w:spacing w:line="360" w:lineRule="auto"/>
        <w:jc w:val="both"/>
      </w:pPr>
      <w:proofErr w:type="gramStart"/>
      <w:r w:rsidRPr="007F481A">
        <w:t>“</w:t>
      </w:r>
      <w:r w:rsidRPr="007F481A">
        <w:rPr>
          <w:i/>
        </w:rPr>
        <w:t xml:space="preserve">… that the type II IL-1R does not mediate gene activation in </w:t>
      </w:r>
      <w:proofErr w:type="spellStart"/>
      <w:r w:rsidRPr="007F481A">
        <w:rPr>
          <w:b/>
          <w:i/>
        </w:rPr>
        <w:t>Jurkat</w:t>
      </w:r>
      <w:proofErr w:type="spellEnd"/>
      <w:r w:rsidRPr="007F481A">
        <w:rPr>
          <w:b/>
          <w:i/>
        </w:rPr>
        <w:t xml:space="preserve"> cells</w:t>
      </w:r>
      <w:r w:rsidRPr="007F481A">
        <w:rPr>
          <w:i/>
        </w:rPr>
        <w:t>.</w:t>
      </w:r>
      <w:r w:rsidRPr="007F481A">
        <w:t>”</w:t>
      </w:r>
      <w:proofErr w:type="gramEnd"/>
      <w:r w:rsidRPr="007F481A">
        <w:t xml:space="preserve"> </w:t>
      </w:r>
    </w:p>
    <w:p w14:paraId="43910235" w14:textId="77777777" w:rsidR="00F9572C" w:rsidRPr="007F481A" w:rsidRDefault="00F9572C" w:rsidP="00F9572C">
      <w:pPr>
        <w:spacing w:line="360" w:lineRule="auto"/>
        <w:jc w:val="right"/>
      </w:pPr>
      <w:r w:rsidRPr="007F481A">
        <w:rPr>
          <w:i/>
        </w:rPr>
        <w:t>MEDLINE: 93252936</w:t>
      </w:r>
    </w:p>
    <w:p w14:paraId="2D0E9235" w14:textId="77777777" w:rsidR="00F9572C" w:rsidRPr="007F481A" w:rsidRDefault="00F9572C" w:rsidP="00F9572C">
      <w:pPr>
        <w:spacing w:line="360" w:lineRule="auto"/>
        <w:jc w:val="both"/>
      </w:pPr>
      <w:r w:rsidRPr="007F481A">
        <w:t>“</w:t>
      </w:r>
      <w:r w:rsidRPr="007F481A">
        <w:rPr>
          <w:i/>
        </w:rPr>
        <w:t xml:space="preserve">…galectin-3 was shown to activate interleukin-2 production in </w:t>
      </w:r>
      <w:proofErr w:type="spellStart"/>
      <w:r w:rsidRPr="007F481A">
        <w:rPr>
          <w:b/>
          <w:i/>
        </w:rPr>
        <w:t>Jurkat</w:t>
      </w:r>
      <w:proofErr w:type="spellEnd"/>
      <w:r w:rsidRPr="007F481A">
        <w:rPr>
          <w:b/>
          <w:i/>
        </w:rPr>
        <w:t xml:space="preserve"> T cells</w:t>
      </w:r>
      <w:r w:rsidRPr="007F481A">
        <w:rPr>
          <w:i/>
        </w:rPr>
        <w:t>.</w:t>
      </w:r>
      <w:r w:rsidRPr="007F481A">
        <w:t xml:space="preserve">” </w:t>
      </w:r>
    </w:p>
    <w:p w14:paraId="230BC4C3" w14:textId="77777777" w:rsidR="00F9572C" w:rsidRPr="007F481A" w:rsidRDefault="00F9572C" w:rsidP="00F9572C">
      <w:pPr>
        <w:spacing w:line="360" w:lineRule="auto"/>
        <w:jc w:val="right"/>
      </w:pPr>
      <w:r w:rsidRPr="007F481A">
        <w:rPr>
          <w:i/>
        </w:rPr>
        <w:t>MEDLINE: 96208140</w:t>
      </w:r>
    </w:p>
    <w:p w14:paraId="15882796" w14:textId="4AEEB381" w:rsidR="00F9572C" w:rsidRPr="007F481A" w:rsidRDefault="00F9572C" w:rsidP="00F9572C">
      <w:pPr>
        <w:spacing w:line="360" w:lineRule="auto"/>
        <w:ind w:firstLine="720"/>
        <w:jc w:val="both"/>
      </w:pPr>
      <w:r w:rsidRPr="007F481A">
        <w:t xml:space="preserve">The two similar </w:t>
      </w:r>
      <w:r w:rsidRPr="007F481A">
        <w:rPr>
          <w:b/>
          <w:i/>
        </w:rPr>
        <w:t>bold entities</w:t>
      </w:r>
      <w:r w:rsidRPr="007F481A">
        <w:t xml:space="preserve"> are labeled as cell line and cell type</w:t>
      </w:r>
      <w:r w:rsidR="00022197">
        <w:t>,</w:t>
      </w:r>
      <w:r w:rsidRPr="007F481A">
        <w:t xml:space="preserve"> respectively</w:t>
      </w:r>
      <w:r w:rsidR="00022197">
        <w:t>,</w:t>
      </w:r>
      <w:r w:rsidRPr="007F481A">
        <w:t xml:space="preserve"> in this instance. However, the core term “</w:t>
      </w:r>
      <w:proofErr w:type="spellStart"/>
      <w:r w:rsidRPr="007F481A">
        <w:rPr>
          <w:i/>
        </w:rPr>
        <w:t>Jurkat</w:t>
      </w:r>
      <w:proofErr w:type="spellEnd"/>
      <w:r w:rsidRPr="007F481A">
        <w:t>” is a powerful attribution to annotate both of them as cell line.</w:t>
      </w:r>
    </w:p>
    <w:p w14:paraId="2363688E" w14:textId="77777777" w:rsidR="00F9572C" w:rsidRPr="007F481A" w:rsidRDefault="00F9572C" w:rsidP="00F9572C">
      <w:pPr>
        <w:spacing w:line="360" w:lineRule="auto"/>
        <w:jc w:val="both"/>
      </w:pPr>
    </w:p>
    <w:p w14:paraId="37AED8DE" w14:textId="77777777" w:rsidR="00F9572C" w:rsidRPr="007F481A" w:rsidRDefault="00F9572C" w:rsidP="00F9572C">
      <w:pPr>
        <w:spacing w:line="360" w:lineRule="auto"/>
        <w:jc w:val="both"/>
        <w:rPr>
          <w:b/>
        </w:rPr>
      </w:pPr>
      <w:r w:rsidRPr="007F481A">
        <w:rPr>
          <w:b/>
        </w:rPr>
        <w:t>Neglected adjacent clues</w:t>
      </w:r>
    </w:p>
    <w:p w14:paraId="49C288DA" w14:textId="5874D51D" w:rsidR="00F9572C" w:rsidRPr="007F481A" w:rsidRDefault="00F9572C" w:rsidP="00F9572C">
      <w:pPr>
        <w:spacing w:line="360" w:lineRule="auto"/>
        <w:ind w:firstLine="720"/>
        <w:jc w:val="both"/>
      </w:pPr>
      <w:r w:rsidRPr="007F481A">
        <w:t xml:space="preserve">In some cases, the entities are concatenated with certain type </w:t>
      </w:r>
      <w:r w:rsidR="00022197">
        <w:t xml:space="preserve">of </w:t>
      </w:r>
      <w:r w:rsidRPr="007F481A">
        <w:t xml:space="preserve">keywords, so it is easy to clarify the real types of entities. But several observations indicate that </w:t>
      </w:r>
      <w:r w:rsidR="00022197">
        <w:t xml:space="preserve">a </w:t>
      </w:r>
      <w:r w:rsidRPr="007F481A">
        <w:t>few of the keywords are neglected in the GENIA corpus, such as the example below:</w:t>
      </w:r>
    </w:p>
    <w:p w14:paraId="4708E29F" w14:textId="77777777" w:rsidR="00F9572C" w:rsidRPr="007F481A" w:rsidRDefault="00F9572C" w:rsidP="00F9572C">
      <w:pPr>
        <w:spacing w:line="360" w:lineRule="auto"/>
        <w:jc w:val="both"/>
      </w:pPr>
      <w:r w:rsidRPr="007F481A">
        <w:t>“</w:t>
      </w:r>
      <w:r w:rsidRPr="007F481A">
        <w:rPr>
          <w:i/>
        </w:rPr>
        <w:t xml:space="preserve">The 5' sequences up to nucleotide -120 of the human and murine </w:t>
      </w:r>
      <w:r w:rsidRPr="007F481A">
        <w:rPr>
          <w:b/>
          <w:i/>
        </w:rPr>
        <w:t>IL-16</w:t>
      </w:r>
      <w:r w:rsidRPr="007F481A">
        <w:rPr>
          <w:i/>
        </w:rPr>
        <w:t xml:space="preserve"> genes …</w:t>
      </w:r>
      <w:r w:rsidRPr="007F481A">
        <w:t xml:space="preserve">” </w:t>
      </w:r>
    </w:p>
    <w:p w14:paraId="3AEAB5EB" w14:textId="77777777" w:rsidR="00F9572C" w:rsidRPr="007F481A" w:rsidRDefault="00F9572C" w:rsidP="00F9572C">
      <w:pPr>
        <w:spacing w:line="360" w:lineRule="auto"/>
        <w:jc w:val="right"/>
      </w:pPr>
      <w:r w:rsidRPr="007F481A">
        <w:rPr>
          <w:i/>
        </w:rPr>
        <w:t>MEDLINE: 96324400</w:t>
      </w:r>
    </w:p>
    <w:p w14:paraId="5951CF23" w14:textId="2EDEE655" w:rsidR="00F9572C" w:rsidRPr="007F481A" w:rsidRDefault="00F9572C" w:rsidP="00F9572C">
      <w:pPr>
        <w:spacing w:line="360" w:lineRule="auto"/>
        <w:ind w:firstLine="720"/>
        <w:jc w:val="both"/>
      </w:pPr>
      <w:r w:rsidRPr="007F481A">
        <w:t>Without considering the keyword “</w:t>
      </w:r>
      <w:r w:rsidRPr="007F481A">
        <w:rPr>
          <w:i/>
        </w:rPr>
        <w:t>genes</w:t>
      </w:r>
      <w:r w:rsidRPr="007F481A">
        <w:t xml:space="preserve">”, the </w:t>
      </w:r>
      <w:r w:rsidRPr="007F481A">
        <w:rPr>
          <w:b/>
          <w:i/>
        </w:rPr>
        <w:t>bold term</w:t>
      </w:r>
      <w:r w:rsidRPr="007F481A">
        <w:t xml:space="preserve"> “</w:t>
      </w:r>
      <w:r w:rsidRPr="007F481A">
        <w:rPr>
          <w:i/>
        </w:rPr>
        <w:t>IL-16</w:t>
      </w:r>
      <w:r w:rsidRPr="007F481A">
        <w:t xml:space="preserve">” </w:t>
      </w:r>
      <w:r w:rsidR="00022197">
        <w:t>was</w:t>
      </w:r>
      <w:r w:rsidRPr="007F481A">
        <w:t xml:space="preserve"> wrongly classified into the protein type.</w:t>
      </w:r>
    </w:p>
    <w:p w14:paraId="32845898" w14:textId="77777777" w:rsidR="00F9572C" w:rsidRPr="007F481A" w:rsidRDefault="00F9572C" w:rsidP="00F9572C">
      <w:pPr>
        <w:spacing w:line="360" w:lineRule="auto"/>
        <w:jc w:val="both"/>
      </w:pPr>
    </w:p>
    <w:p w14:paraId="1A4781C2" w14:textId="77777777" w:rsidR="00F9572C" w:rsidRPr="007F481A" w:rsidRDefault="00F9572C" w:rsidP="00F9572C">
      <w:pPr>
        <w:spacing w:line="360" w:lineRule="auto"/>
        <w:jc w:val="both"/>
      </w:pPr>
      <w:r w:rsidRPr="007F481A">
        <w:rPr>
          <w:b/>
        </w:rPr>
        <w:t>Missing</w:t>
      </w:r>
      <w:r w:rsidRPr="007F481A">
        <w:t xml:space="preserve"> </w:t>
      </w:r>
      <w:r w:rsidRPr="007F481A">
        <w:rPr>
          <w:b/>
        </w:rPr>
        <w:t>annotations</w:t>
      </w:r>
    </w:p>
    <w:p w14:paraId="59B228A7" w14:textId="54864251" w:rsidR="00F9572C" w:rsidRPr="007F481A" w:rsidRDefault="00F9572C" w:rsidP="004215C8">
      <w:pPr>
        <w:spacing w:line="360" w:lineRule="auto"/>
        <w:ind w:firstLine="720"/>
        <w:jc w:val="both"/>
      </w:pPr>
      <w:r w:rsidRPr="007F481A">
        <w:t>Th</w:t>
      </w:r>
      <w:r w:rsidR="004B7F07">
        <w:t>is</w:t>
      </w:r>
      <w:r w:rsidRPr="007F481A">
        <w:t xml:space="preserve"> is hard to avoid when the corpus size is huge. GENIA corpus also suffered from this problem.</w:t>
      </w:r>
      <w:r w:rsidR="00E302CA">
        <w:t xml:space="preserve"> </w:t>
      </w:r>
      <w:r w:rsidRPr="007F481A">
        <w:t>The following sentence displays missing annotations:</w:t>
      </w:r>
    </w:p>
    <w:p w14:paraId="22CE81D6" w14:textId="77777777" w:rsidR="00F9572C" w:rsidRPr="007F481A" w:rsidRDefault="00F9572C" w:rsidP="00F9572C">
      <w:pPr>
        <w:spacing w:line="360" w:lineRule="auto"/>
        <w:jc w:val="both"/>
      </w:pPr>
      <w:r w:rsidRPr="007F481A">
        <w:t>“</w:t>
      </w:r>
      <w:r w:rsidRPr="007F481A">
        <w:rPr>
          <w:i/>
        </w:rPr>
        <w:t xml:space="preserve">Three additional smaller regions show homology to the </w:t>
      </w:r>
      <w:r w:rsidRPr="007F481A">
        <w:rPr>
          <w:b/>
          <w:i/>
        </w:rPr>
        <w:t>ELK-1</w:t>
      </w:r>
      <w:r w:rsidRPr="007F481A">
        <w:rPr>
          <w:i/>
        </w:rPr>
        <w:t xml:space="preserve"> and SAP-1 genes…</w:t>
      </w:r>
      <w:r w:rsidRPr="007F481A">
        <w:t xml:space="preserve">” </w:t>
      </w:r>
    </w:p>
    <w:p w14:paraId="6757A92F" w14:textId="77777777" w:rsidR="00F9572C" w:rsidRPr="007F481A" w:rsidRDefault="00F9572C" w:rsidP="00F9572C">
      <w:pPr>
        <w:spacing w:line="360" w:lineRule="auto"/>
        <w:jc w:val="right"/>
      </w:pPr>
      <w:r w:rsidRPr="007F481A">
        <w:rPr>
          <w:i/>
        </w:rPr>
        <w:t>MEDLINE: 94217726</w:t>
      </w:r>
    </w:p>
    <w:p w14:paraId="290263FD" w14:textId="0071DF70" w:rsidR="00F9572C" w:rsidRDefault="00F9572C" w:rsidP="00F9572C">
      <w:pPr>
        <w:spacing w:line="360" w:lineRule="auto"/>
        <w:ind w:firstLine="720"/>
        <w:jc w:val="both"/>
      </w:pPr>
      <w:r w:rsidRPr="007F481A">
        <w:t xml:space="preserve">According to the GENIA ontology, the </w:t>
      </w:r>
      <w:r w:rsidRPr="007F481A">
        <w:rPr>
          <w:b/>
          <w:i/>
        </w:rPr>
        <w:t>bold term</w:t>
      </w:r>
      <w:r w:rsidRPr="007F481A">
        <w:t xml:space="preserve"> “</w:t>
      </w:r>
      <w:r w:rsidRPr="007F481A">
        <w:rPr>
          <w:i/>
        </w:rPr>
        <w:t>ELK-1</w:t>
      </w:r>
      <w:r w:rsidRPr="007F481A">
        <w:t>” should be referred to as DNA, but it is missing.</w:t>
      </w:r>
      <w:r w:rsidR="004B7F07">
        <w:t xml:space="preserve"> Table </w:t>
      </w:r>
      <w:r w:rsidR="0043615B">
        <w:rPr>
          <w:rFonts w:hint="eastAsia"/>
        </w:rPr>
        <w:t>1</w:t>
      </w:r>
      <w:r w:rsidR="00F37A9E">
        <w:t xml:space="preserve"> </w:t>
      </w:r>
      <w:r w:rsidR="004B7F07">
        <w:t>gives some statistics of GENIA’s major errors</w:t>
      </w:r>
    </w:p>
    <w:p w14:paraId="5BC2BAAC" w14:textId="77777777" w:rsidR="005B0F4C" w:rsidRDefault="005B0F4C" w:rsidP="00F9572C">
      <w:pPr>
        <w:spacing w:line="360" w:lineRule="auto"/>
        <w:ind w:firstLine="720"/>
        <w:jc w:val="both"/>
      </w:pPr>
    </w:p>
    <w:p w14:paraId="5880498D" w14:textId="77777777" w:rsidR="005B0F4C" w:rsidRPr="007F481A" w:rsidRDefault="005B0F4C" w:rsidP="00F9572C">
      <w:pPr>
        <w:spacing w:line="360" w:lineRule="auto"/>
        <w:ind w:firstLine="720"/>
        <w:jc w:val="both"/>
      </w:pPr>
    </w:p>
    <w:p w14:paraId="5365EB35" w14:textId="77777777" w:rsidR="004B7F07" w:rsidRDefault="004B7F07">
      <w:pPr>
        <w:rPr>
          <w:color w:val="auto"/>
        </w:rPr>
      </w:pPr>
      <w:r>
        <w:rPr>
          <w:color w:val="auto"/>
        </w:rPr>
        <w:br w:type="page"/>
      </w:r>
    </w:p>
    <w:p w14:paraId="4C9283BC" w14:textId="237E05F0" w:rsidR="00F9572C" w:rsidRDefault="00F9572C" w:rsidP="004D20BE">
      <w:pPr>
        <w:keepNext/>
        <w:jc w:val="center"/>
        <w:rPr>
          <w:color w:val="auto"/>
        </w:rPr>
      </w:pPr>
      <w:proofErr w:type="gramStart"/>
      <w:r w:rsidRPr="007F481A">
        <w:rPr>
          <w:color w:val="auto"/>
        </w:rPr>
        <w:lastRenderedPageBreak/>
        <w:t xml:space="preserve">Table </w:t>
      </w:r>
      <w:r w:rsidR="0043615B">
        <w:rPr>
          <w:rFonts w:hint="eastAsia"/>
          <w:color w:val="auto"/>
        </w:rPr>
        <w:t>1</w:t>
      </w:r>
      <w:r w:rsidRPr="007F481A">
        <w:rPr>
          <w:color w:val="auto"/>
        </w:rPr>
        <w:t>.</w:t>
      </w:r>
      <w:proofErr w:type="gramEnd"/>
      <w:r w:rsidRPr="007F481A">
        <w:rPr>
          <w:color w:val="auto"/>
        </w:rPr>
        <w:t xml:space="preserve"> Statistics of GENIA Error</w:t>
      </w:r>
      <w:r w:rsidR="00E161BA">
        <w:rPr>
          <w:color w:val="auto"/>
        </w:rPr>
        <w:t>s</w:t>
      </w:r>
    </w:p>
    <w:tbl>
      <w:tblPr>
        <w:tblStyle w:val="ac"/>
        <w:tblW w:w="10044" w:type="dxa"/>
        <w:jc w:val="center"/>
        <w:tblLook w:val="04A0" w:firstRow="1" w:lastRow="0" w:firstColumn="1" w:lastColumn="0" w:noHBand="0" w:noVBand="1"/>
      </w:tblPr>
      <w:tblGrid>
        <w:gridCol w:w="1374"/>
        <w:gridCol w:w="1084"/>
        <w:gridCol w:w="1549"/>
        <w:gridCol w:w="1702"/>
        <w:gridCol w:w="1084"/>
        <w:gridCol w:w="1549"/>
        <w:gridCol w:w="1702"/>
      </w:tblGrid>
      <w:tr w:rsidR="004D20BE" w14:paraId="643E84D7" w14:textId="77777777" w:rsidTr="005B0F4C">
        <w:trPr>
          <w:jc w:val="center"/>
        </w:trPr>
        <w:tc>
          <w:tcPr>
            <w:tcW w:w="1374" w:type="dxa"/>
            <w:tcBorders>
              <w:bottom w:val="nil"/>
            </w:tcBorders>
          </w:tcPr>
          <w:p w14:paraId="2BD49126"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p>
        </w:tc>
        <w:tc>
          <w:tcPr>
            <w:tcW w:w="4335" w:type="dxa"/>
            <w:gridSpan w:val="3"/>
            <w:tcBorders>
              <w:bottom w:val="single" w:sz="4" w:space="0" w:color="auto"/>
            </w:tcBorders>
          </w:tcPr>
          <w:p w14:paraId="14D12E15"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Training set</w:t>
            </w:r>
          </w:p>
        </w:tc>
        <w:tc>
          <w:tcPr>
            <w:tcW w:w="4335" w:type="dxa"/>
            <w:gridSpan w:val="3"/>
            <w:tcBorders>
              <w:bottom w:val="single" w:sz="4" w:space="0" w:color="auto"/>
            </w:tcBorders>
          </w:tcPr>
          <w:p w14:paraId="37E195D9"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Test set</w:t>
            </w:r>
          </w:p>
        </w:tc>
      </w:tr>
      <w:tr w:rsidR="004D20BE" w14:paraId="7CE81FA5" w14:textId="77777777" w:rsidTr="005B0F4C">
        <w:trPr>
          <w:jc w:val="center"/>
        </w:trPr>
        <w:tc>
          <w:tcPr>
            <w:tcW w:w="1374" w:type="dxa"/>
            <w:tcBorders>
              <w:top w:val="nil"/>
              <w:bottom w:val="single" w:sz="4" w:space="0" w:color="auto"/>
            </w:tcBorders>
            <w:vAlign w:val="center"/>
          </w:tcPr>
          <w:p w14:paraId="4D7B123B"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BNE type</w:t>
            </w:r>
          </w:p>
        </w:tc>
        <w:tc>
          <w:tcPr>
            <w:tcW w:w="1084" w:type="dxa"/>
            <w:tcBorders>
              <w:bottom w:val="single" w:sz="4" w:space="0" w:color="auto"/>
              <w:right w:val="nil"/>
            </w:tcBorders>
            <w:vAlign w:val="center"/>
          </w:tcPr>
          <w:p w14:paraId="05775161"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#BNEs</w:t>
            </w:r>
          </w:p>
        </w:tc>
        <w:tc>
          <w:tcPr>
            <w:tcW w:w="1549" w:type="dxa"/>
            <w:tcBorders>
              <w:left w:val="nil"/>
              <w:bottom w:val="single" w:sz="4" w:space="0" w:color="auto"/>
              <w:right w:val="nil"/>
            </w:tcBorders>
            <w:vAlign w:val="center"/>
          </w:tcPr>
          <w:p w14:paraId="4D79B7F3"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The recruitments of general terms</w:t>
            </w:r>
          </w:p>
        </w:tc>
        <w:tc>
          <w:tcPr>
            <w:tcW w:w="1702" w:type="dxa"/>
            <w:tcBorders>
              <w:left w:val="nil"/>
              <w:bottom w:val="single" w:sz="4" w:space="0" w:color="auto"/>
            </w:tcBorders>
            <w:vAlign w:val="center"/>
          </w:tcPr>
          <w:p w14:paraId="5192CA94"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Unnecessary preceding words</w:t>
            </w:r>
          </w:p>
        </w:tc>
        <w:tc>
          <w:tcPr>
            <w:tcW w:w="1084" w:type="dxa"/>
            <w:tcBorders>
              <w:bottom w:val="single" w:sz="4" w:space="0" w:color="auto"/>
              <w:right w:val="nil"/>
            </w:tcBorders>
            <w:vAlign w:val="center"/>
          </w:tcPr>
          <w:p w14:paraId="07727FCA"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#BNEs</w:t>
            </w:r>
          </w:p>
        </w:tc>
        <w:tc>
          <w:tcPr>
            <w:tcW w:w="1549" w:type="dxa"/>
            <w:tcBorders>
              <w:left w:val="nil"/>
              <w:bottom w:val="single" w:sz="4" w:space="0" w:color="auto"/>
              <w:right w:val="nil"/>
            </w:tcBorders>
            <w:vAlign w:val="center"/>
          </w:tcPr>
          <w:p w14:paraId="4E9D0AB3"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The recruitments of general terms</w:t>
            </w:r>
          </w:p>
        </w:tc>
        <w:tc>
          <w:tcPr>
            <w:tcW w:w="1702" w:type="dxa"/>
            <w:tcBorders>
              <w:left w:val="nil"/>
              <w:bottom w:val="single" w:sz="4" w:space="0" w:color="auto"/>
            </w:tcBorders>
            <w:vAlign w:val="center"/>
          </w:tcPr>
          <w:p w14:paraId="79B05635"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Unnecessary preceding words</w:t>
            </w:r>
          </w:p>
        </w:tc>
      </w:tr>
      <w:tr w:rsidR="004D20BE" w14:paraId="3DB1F0BA" w14:textId="77777777" w:rsidTr="005B0F4C">
        <w:trPr>
          <w:jc w:val="center"/>
        </w:trPr>
        <w:tc>
          <w:tcPr>
            <w:tcW w:w="1374" w:type="dxa"/>
            <w:tcBorders>
              <w:bottom w:val="nil"/>
              <w:right w:val="single" w:sz="4" w:space="0" w:color="auto"/>
            </w:tcBorders>
          </w:tcPr>
          <w:p w14:paraId="7012E876"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cell line</w:t>
            </w:r>
          </w:p>
        </w:tc>
        <w:tc>
          <w:tcPr>
            <w:tcW w:w="1084" w:type="dxa"/>
            <w:tcBorders>
              <w:left w:val="single" w:sz="4" w:space="0" w:color="auto"/>
              <w:bottom w:val="nil"/>
              <w:right w:val="nil"/>
            </w:tcBorders>
          </w:tcPr>
          <w:p w14:paraId="206CE9E2"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3,830</w:t>
            </w:r>
          </w:p>
        </w:tc>
        <w:tc>
          <w:tcPr>
            <w:tcW w:w="1549" w:type="dxa"/>
            <w:tcBorders>
              <w:left w:val="nil"/>
              <w:bottom w:val="nil"/>
              <w:right w:val="nil"/>
            </w:tcBorders>
          </w:tcPr>
          <w:p w14:paraId="0D55560D"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779</w:t>
            </w:r>
          </w:p>
        </w:tc>
        <w:tc>
          <w:tcPr>
            <w:tcW w:w="1702" w:type="dxa"/>
            <w:tcBorders>
              <w:left w:val="nil"/>
              <w:bottom w:val="nil"/>
              <w:right w:val="single" w:sz="4" w:space="0" w:color="auto"/>
            </w:tcBorders>
          </w:tcPr>
          <w:p w14:paraId="1DD2E71F"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498</w:t>
            </w:r>
          </w:p>
        </w:tc>
        <w:tc>
          <w:tcPr>
            <w:tcW w:w="1084" w:type="dxa"/>
            <w:tcBorders>
              <w:left w:val="single" w:sz="4" w:space="0" w:color="auto"/>
              <w:bottom w:val="nil"/>
              <w:right w:val="nil"/>
            </w:tcBorders>
          </w:tcPr>
          <w:p w14:paraId="3EF96528"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500</w:t>
            </w:r>
          </w:p>
        </w:tc>
        <w:tc>
          <w:tcPr>
            <w:tcW w:w="1549" w:type="dxa"/>
            <w:tcBorders>
              <w:left w:val="nil"/>
              <w:bottom w:val="nil"/>
              <w:right w:val="nil"/>
            </w:tcBorders>
          </w:tcPr>
          <w:p w14:paraId="00AA81A8"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132</w:t>
            </w:r>
          </w:p>
        </w:tc>
        <w:tc>
          <w:tcPr>
            <w:tcW w:w="1702" w:type="dxa"/>
            <w:tcBorders>
              <w:left w:val="nil"/>
              <w:bottom w:val="nil"/>
            </w:tcBorders>
          </w:tcPr>
          <w:p w14:paraId="283CC082"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55</w:t>
            </w:r>
          </w:p>
        </w:tc>
      </w:tr>
      <w:tr w:rsidR="004D20BE" w14:paraId="362A8FF1" w14:textId="77777777" w:rsidTr="005B0F4C">
        <w:trPr>
          <w:jc w:val="center"/>
        </w:trPr>
        <w:tc>
          <w:tcPr>
            <w:tcW w:w="1374" w:type="dxa"/>
            <w:tcBorders>
              <w:top w:val="nil"/>
              <w:bottom w:val="nil"/>
              <w:right w:val="single" w:sz="4" w:space="0" w:color="auto"/>
            </w:tcBorders>
          </w:tcPr>
          <w:p w14:paraId="6E6CE912"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cell type</w:t>
            </w:r>
          </w:p>
        </w:tc>
        <w:tc>
          <w:tcPr>
            <w:tcW w:w="1084" w:type="dxa"/>
            <w:tcBorders>
              <w:top w:val="nil"/>
              <w:left w:val="single" w:sz="4" w:space="0" w:color="auto"/>
              <w:bottom w:val="nil"/>
              <w:right w:val="nil"/>
            </w:tcBorders>
          </w:tcPr>
          <w:p w14:paraId="6336436F"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6,718</w:t>
            </w:r>
          </w:p>
        </w:tc>
        <w:tc>
          <w:tcPr>
            <w:tcW w:w="1549" w:type="dxa"/>
            <w:tcBorders>
              <w:top w:val="nil"/>
              <w:left w:val="nil"/>
              <w:bottom w:val="nil"/>
              <w:right w:val="nil"/>
            </w:tcBorders>
          </w:tcPr>
          <w:p w14:paraId="33C5E8BE"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1,006</w:t>
            </w:r>
          </w:p>
        </w:tc>
        <w:tc>
          <w:tcPr>
            <w:tcW w:w="1702" w:type="dxa"/>
            <w:tcBorders>
              <w:top w:val="nil"/>
              <w:left w:val="nil"/>
              <w:bottom w:val="nil"/>
              <w:right w:val="single" w:sz="4" w:space="0" w:color="auto"/>
            </w:tcBorders>
          </w:tcPr>
          <w:p w14:paraId="4A7E9EAF"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1,757</w:t>
            </w:r>
          </w:p>
        </w:tc>
        <w:tc>
          <w:tcPr>
            <w:tcW w:w="1084" w:type="dxa"/>
            <w:tcBorders>
              <w:top w:val="nil"/>
              <w:left w:val="single" w:sz="4" w:space="0" w:color="auto"/>
              <w:bottom w:val="nil"/>
              <w:right w:val="nil"/>
            </w:tcBorders>
          </w:tcPr>
          <w:p w14:paraId="769A7B5C"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1,921</w:t>
            </w:r>
          </w:p>
        </w:tc>
        <w:tc>
          <w:tcPr>
            <w:tcW w:w="1549" w:type="dxa"/>
            <w:tcBorders>
              <w:top w:val="nil"/>
              <w:left w:val="nil"/>
              <w:bottom w:val="nil"/>
              <w:right w:val="nil"/>
            </w:tcBorders>
          </w:tcPr>
          <w:p w14:paraId="1F7B65D2"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174</w:t>
            </w:r>
          </w:p>
        </w:tc>
        <w:tc>
          <w:tcPr>
            <w:tcW w:w="1702" w:type="dxa"/>
            <w:tcBorders>
              <w:top w:val="nil"/>
              <w:left w:val="nil"/>
              <w:bottom w:val="nil"/>
            </w:tcBorders>
          </w:tcPr>
          <w:p w14:paraId="5BFDE442"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327</w:t>
            </w:r>
          </w:p>
        </w:tc>
      </w:tr>
      <w:tr w:rsidR="004D20BE" w14:paraId="096F5FEC" w14:textId="77777777" w:rsidTr="005B0F4C">
        <w:trPr>
          <w:jc w:val="center"/>
        </w:trPr>
        <w:tc>
          <w:tcPr>
            <w:tcW w:w="1374" w:type="dxa"/>
            <w:tcBorders>
              <w:top w:val="nil"/>
              <w:bottom w:val="nil"/>
              <w:right w:val="single" w:sz="4" w:space="0" w:color="auto"/>
            </w:tcBorders>
          </w:tcPr>
          <w:p w14:paraId="19E0F3D5"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DNA</w:t>
            </w:r>
          </w:p>
        </w:tc>
        <w:tc>
          <w:tcPr>
            <w:tcW w:w="1084" w:type="dxa"/>
            <w:tcBorders>
              <w:top w:val="nil"/>
              <w:left w:val="single" w:sz="4" w:space="0" w:color="auto"/>
              <w:bottom w:val="nil"/>
              <w:right w:val="nil"/>
            </w:tcBorders>
          </w:tcPr>
          <w:p w14:paraId="65F6FFB4"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9,534</w:t>
            </w:r>
          </w:p>
        </w:tc>
        <w:tc>
          <w:tcPr>
            <w:tcW w:w="1549" w:type="dxa"/>
            <w:tcBorders>
              <w:top w:val="nil"/>
              <w:left w:val="nil"/>
              <w:bottom w:val="nil"/>
              <w:right w:val="nil"/>
            </w:tcBorders>
          </w:tcPr>
          <w:p w14:paraId="4FBC879D"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4,137</w:t>
            </w:r>
          </w:p>
        </w:tc>
        <w:tc>
          <w:tcPr>
            <w:tcW w:w="1702" w:type="dxa"/>
            <w:tcBorders>
              <w:top w:val="nil"/>
              <w:left w:val="nil"/>
              <w:bottom w:val="nil"/>
              <w:right w:val="single" w:sz="4" w:space="0" w:color="auto"/>
            </w:tcBorders>
          </w:tcPr>
          <w:p w14:paraId="0EAB691B"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780</w:t>
            </w:r>
          </w:p>
        </w:tc>
        <w:tc>
          <w:tcPr>
            <w:tcW w:w="1084" w:type="dxa"/>
            <w:tcBorders>
              <w:top w:val="nil"/>
              <w:left w:val="single" w:sz="4" w:space="0" w:color="auto"/>
              <w:bottom w:val="nil"/>
              <w:right w:val="nil"/>
            </w:tcBorders>
          </w:tcPr>
          <w:p w14:paraId="60EBE6D5"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1,056</w:t>
            </w:r>
          </w:p>
        </w:tc>
        <w:tc>
          <w:tcPr>
            <w:tcW w:w="1549" w:type="dxa"/>
            <w:tcBorders>
              <w:top w:val="nil"/>
              <w:left w:val="nil"/>
              <w:bottom w:val="nil"/>
              <w:right w:val="nil"/>
            </w:tcBorders>
          </w:tcPr>
          <w:p w14:paraId="550351CB"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306</w:t>
            </w:r>
          </w:p>
        </w:tc>
        <w:tc>
          <w:tcPr>
            <w:tcW w:w="1702" w:type="dxa"/>
            <w:tcBorders>
              <w:top w:val="nil"/>
              <w:left w:val="nil"/>
              <w:bottom w:val="nil"/>
            </w:tcBorders>
          </w:tcPr>
          <w:p w14:paraId="7B65BF78"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31</w:t>
            </w:r>
          </w:p>
        </w:tc>
      </w:tr>
      <w:tr w:rsidR="004D20BE" w14:paraId="6FD4BD6C" w14:textId="77777777" w:rsidTr="005B0F4C">
        <w:trPr>
          <w:jc w:val="center"/>
        </w:trPr>
        <w:tc>
          <w:tcPr>
            <w:tcW w:w="1374" w:type="dxa"/>
            <w:tcBorders>
              <w:top w:val="nil"/>
              <w:bottom w:val="nil"/>
              <w:right w:val="single" w:sz="4" w:space="0" w:color="auto"/>
            </w:tcBorders>
          </w:tcPr>
          <w:p w14:paraId="10BFA7FF"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protein</w:t>
            </w:r>
          </w:p>
        </w:tc>
        <w:tc>
          <w:tcPr>
            <w:tcW w:w="1084" w:type="dxa"/>
            <w:tcBorders>
              <w:top w:val="nil"/>
              <w:left w:val="single" w:sz="4" w:space="0" w:color="auto"/>
              <w:bottom w:val="nil"/>
              <w:right w:val="nil"/>
            </w:tcBorders>
          </w:tcPr>
          <w:p w14:paraId="239C8B26"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30,269</w:t>
            </w:r>
          </w:p>
        </w:tc>
        <w:tc>
          <w:tcPr>
            <w:tcW w:w="1549" w:type="dxa"/>
            <w:tcBorders>
              <w:top w:val="nil"/>
              <w:left w:val="nil"/>
              <w:bottom w:val="nil"/>
              <w:right w:val="nil"/>
            </w:tcBorders>
          </w:tcPr>
          <w:p w14:paraId="4792FC68"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8,145</w:t>
            </w:r>
          </w:p>
        </w:tc>
        <w:tc>
          <w:tcPr>
            <w:tcW w:w="1702" w:type="dxa"/>
            <w:tcBorders>
              <w:top w:val="nil"/>
              <w:left w:val="nil"/>
              <w:bottom w:val="nil"/>
              <w:right w:val="single" w:sz="4" w:space="0" w:color="auto"/>
            </w:tcBorders>
          </w:tcPr>
          <w:p w14:paraId="6CEA062F"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1,781</w:t>
            </w:r>
          </w:p>
        </w:tc>
        <w:tc>
          <w:tcPr>
            <w:tcW w:w="1084" w:type="dxa"/>
            <w:tcBorders>
              <w:top w:val="nil"/>
              <w:left w:val="single" w:sz="4" w:space="0" w:color="auto"/>
              <w:bottom w:val="nil"/>
              <w:right w:val="nil"/>
            </w:tcBorders>
          </w:tcPr>
          <w:p w14:paraId="68FC2232"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5,067</w:t>
            </w:r>
          </w:p>
        </w:tc>
        <w:tc>
          <w:tcPr>
            <w:tcW w:w="1549" w:type="dxa"/>
            <w:tcBorders>
              <w:top w:val="nil"/>
              <w:left w:val="nil"/>
              <w:bottom w:val="nil"/>
              <w:right w:val="nil"/>
            </w:tcBorders>
          </w:tcPr>
          <w:p w14:paraId="2BB8D260"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666</w:t>
            </w:r>
          </w:p>
        </w:tc>
        <w:tc>
          <w:tcPr>
            <w:tcW w:w="1702" w:type="dxa"/>
            <w:tcBorders>
              <w:top w:val="nil"/>
              <w:left w:val="nil"/>
              <w:bottom w:val="nil"/>
            </w:tcBorders>
          </w:tcPr>
          <w:p w14:paraId="6C6B6A2A"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166</w:t>
            </w:r>
          </w:p>
        </w:tc>
      </w:tr>
      <w:tr w:rsidR="004D20BE" w14:paraId="4D4AB3C2" w14:textId="77777777" w:rsidTr="005B0F4C">
        <w:trPr>
          <w:jc w:val="center"/>
        </w:trPr>
        <w:tc>
          <w:tcPr>
            <w:tcW w:w="1374" w:type="dxa"/>
            <w:tcBorders>
              <w:top w:val="nil"/>
              <w:right w:val="single" w:sz="4" w:space="0" w:color="auto"/>
            </w:tcBorders>
          </w:tcPr>
          <w:p w14:paraId="4F73D54A" w14:textId="77777777" w:rsidR="004D20BE" w:rsidRPr="004D20BE" w:rsidRDefault="004D20BE" w:rsidP="005B0F4C">
            <w:pPr>
              <w:pBdr>
                <w:top w:val="none" w:sz="0" w:space="0" w:color="auto"/>
                <w:left w:val="none" w:sz="0" w:space="0" w:color="auto"/>
                <w:bottom w:val="none" w:sz="0" w:space="0" w:color="auto"/>
                <w:right w:val="none" w:sz="0" w:space="0" w:color="auto"/>
                <w:between w:val="none" w:sz="0" w:space="0" w:color="auto"/>
              </w:pBdr>
              <w:jc w:val="center"/>
              <w:rPr>
                <w:b/>
                <w:color w:val="auto"/>
              </w:rPr>
            </w:pPr>
            <w:r w:rsidRPr="004D20BE">
              <w:rPr>
                <w:rFonts w:hint="eastAsia"/>
                <w:b/>
                <w:color w:val="auto"/>
              </w:rPr>
              <w:t>RNA</w:t>
            </w:r>
          </w:p>
        </w:tc>
        <w:tc>
          <w:tcPr>
            <w:tcW w:w="1084" w:type="dxa"/>
            <w:tcBorders>
              <w:top w:val="nil"/>
              <w:left w:val="single" w:sz="4" w:space="0" w:color="auto"/>
              <w:right w:val="nil"/>
            </w:tcBorders>
          </w:tcPr>
          <w:p w14:paraId="29CA57DE"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951</w:t>
            </w:r>
          </w:p>
        </w:tc>
        <w:tc>
          <w:tcPr>
            <w:tcW w:w="1549" w:type="dxa"/>
            <w:tcBorders>
              <w:top w:val="nil"/>
              <w:left w:val="nil"/>
              <w:right w:val="nil"/>
            </w:tcBorders>
          </w:tcPr>
          <w:p w14:paraId="5299AD46"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268</w:t>
            </w:r>
          </w:p>
        </w:tc>
        <w:tc>
          <w:tcPr>
            <w:tcW w:w="1702" w:type="dxa"/>
            <w:tcBorders>
              <w:top w:val="nil"/>
              <w:left w:val="nil"/>
              <w:right w:val="single" w:sz="4" w:space="0" w:color="auto"/>
            </w:tcBorders>
          </w:tcPr>
          <w:p w14:paraId="6C993729"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84</w:t>
            </w:r>
          </w:p>
        </w:tc>
        <w:tc>
          <w:tcPr>
            <w:tcW w:w="1084" w:type="dxa"/>
            <w:tcBorders>
              <w:top w:val="nil"/>
              <w:left w:val="single" w:sz="4" w:space="0" w:color="auto"/>
              <w:right w:val="nil"/>
            </w:tcBorders>
          </w:tcPr>
          <w:p w14:paraId="4CE60CD7"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118</w:t>
            </w:r>
          </w:p>
        </w:tc>
        <w:tc>
          <w:tcPr>
            <w:tcW w:w="1549" w:type="dxa"/>
            <w:tcBorders>
              <w:top w:val="nil"/>
              <w:left w:val="nil"/>
              <w:right w:val="nil"/>
            </w:tcBorders>
          </w:tcPr>
          <w:p w14:paraId="30877224"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16</w:t>
            </w:r>
          </w:p>
        </w:tc>
        <w:tc>
          <w:tcPr>
            <w:tcW w:w="1702" w:type="dxa"/>
            <w:tcBorders>
              <w:top w:val="nil"/>
              <w:left w:val="nil"/>
            </w:tcBorders>
          </w:tcPr>
          <w:p w14:paraId="5732A758" w14:textId="77777777" w:rsidR="004D20BE" w:rsidRDefault="004D20BE" w:rsidP="005B0F4C">
            <w:pPr>
              <w:pBdr>
                <w:top w:val="none" w:sz="0" w:space="0" w:color="auto"/>
                <w:left w:val="none" w:sz="0" w:space="0" w:color="auto"/>
                <w:bottom w:val="none" w:sz="0" w:space="0" w:color="auto"/>
                <w:right w:val="none" w:sz="0" w:space="0" w:color="auto"/>
                <w:between w:val="none" w:sz="0" w:space="0" w:color="auto"/>
              </w:pBdr>
              <w:jc w:val="right"/>
              <w:rPr>
                <w:color w:val="auto"/>
              </w:rPr>
            </w:pPr>
            <w:r>
              <w:rPr>
                <w:rFonts w:hint="eastAsia"/>
                <w:color w:val="auto"/>
              </w:rPr>
              <w:t>7</w:t>
            </w:r>
          </w:p>
        </w:tc>
      </w:tr>
    </w:tbl>
    <w:p w14:paraId="45DEFCAE" w14:textId="77777777" w:rsidR="004D20BE" w:rsidRPr="004D20BE" w:rsidRDefault="004D20BE" w:rsidP="005B0F4C">
      <w:pPr>
        <w:jc w:val="center"/>
        <w:rPr>
          <w:color w:val="auto"/>
        </w:rPr>
      </w:pPr>
    </w:p>
    <w:p w14:paraId="16908BEF" w14:textId="77777777" w:rsidR="00F9572C" w:rsidRPr="007F481A" w:rsidRDefault="00F9572C" w:rsidP="00F9572C">
      <w:pPr>
        <w:jc w:val="center"/>
        <w:rPr>
          <w:b/>
          <w:color w:val="auto"/>
          <w:sz w:val="36"/>
          <w:szCs w:val="36"/>
        </w:rPr>
      </w:pPr>
    </w:p>
    <w:p w14:paraId="425518CE" w14:textId="77777777" w:rsidR="00F9572C" w:rsidRDefault="00F9572C" w:rsidP="00F9572C">
      <w:pPr>
        <w:jc w:val="center"/>
        <w:rPr>
          <w:b/>
          <w:color w:val="auto"/>
          <w:sz w:val="36"/>
          <w:szCs w:val="36"/>
        </w:rPr>
      </w:pPr>
    </w:p>
    <w:p w14:paraId="55A56D87" w14:textId="77777777" w:rsidR="00F9572C" w:rsidRDefault="00F9572C" w:rsidP="00F9572C">
      <w:pPr>
        <w:rPr>
          <w:b/>
          <w:color w:val="auto"/>
          <w:sz w:val="36"/>
          <w:szCs w:val="36"/>
        </w:rPr>
      </w:pPr>
      <w:r>
        <w:rPr>
          <w:b/>
          <w:color w:val="auto"/>
          <w:sz w:val="36"/>
          <w:szCs w:val="36"/>
        </w:rPr>
        <w:br w:type="page"/>
      </w:r>
    </w:p>
    <w:p w14:paraId="4667B3F3" w14:textId="34B69660" w:rsidR="00F9572C" w:rsidRPr="007F481A" w:rsidRDefault="0043615B" w:rsidP="00F9572C">
      <w:pPr>
        <w:jc w:val="center"/>
        <w:rPr>
          <w:b/>
          <w:color w:val="auto"/>
          <w:sz w:val="36"/>
          <w:szCs w:val="36"/>
        </w:rPr>
      </w:pPr>
      <w:r>
        <w:rPr>
          <w:rFonts w:hint="eastAsia"/>
          <w:b/>
          <w:color w:val="auto"/>
          <w:sz w:val="36"/>
          <w:szCs w:val="36"/>
        </w:rPr>
        <w:lastRenderedPageBreak/>
        <w:t>B</w:t>
      </w:r>
      <w:r w:rsidR="00F9572C" w:rsidRPr="007F481A">
        <w:rPr>
          <w:b/>
          <w:color w:val="auto"/>
          <w:sz w:val="36"/>
          <w:szCs w:val="36"/>
        </w:rPr>
        <w:t>. Annotation Guideline</w:t>
      </w:r>
      <w:r w:rsidR="001D4A7D">
        <w:rPr>
          <w:rFonts w:hint="eastAsia"/>
          <w:b/>
          <w:color w:val="auto"/>
          <w:sz w:val="36"/>
          <w:szCs w:val="36"/>
        </w:rPr>
        <w:t xml:space="preserve"> </w:t>
      </w:r>
      <w:r w:rsidR="00F33920">
        <w:rPr>
          <w:b/>
          <w:color w:val="auto"/>
          <w:sz w:val="36"/>
          <w:szCs w:val="36"/>
        </w:rPr>
        <w:t>for</w:t>
      </w:r>
      <w:r w:rsidR="001D4A7D">
        <w:rPr>
          <w:rFonts w:hint="eastAsia"/>
          <w:b/>
          <w:color w:val="auto"/>
          <w:sz w:val="36"/>
          <w:szCs w:val="36"/>
        </w:rPr>
        <w:t xml:space="preserve"> Revised JNLPBA</w:t>
      </w:r>
    </w:p>
    <w:p w14:paraId="136F5E4D" w14:textId="77777777" w:rsidR="00F9572C" w:rsidRPr="007F481A" w:rsidRDefault="00F9572C" w:rsidP="00F9572C">
      <w:pPr>
        <w:rPr>
          <w:b/>
          <w:color w:val="auto"/>
        </w:rPr>
      </w:pPr>
    </w:p>
    <w:p w14:paraId="32816E77" w14:textId="77777777" w:rsidR="00F9572C" w:rsidRPr="007F481A" w:rsidRDefault="00F9572C" w:rsidP="00F9572C">
      <w:pPr>
        <w:pStyle w:val="ad"/>
        <w:numPr>
          <w:ilvl w:val="0"/>
          <w:numId w:val="4"/>
        </w:numPr>
        <w:ind w:leftChars="0"/>
        <w:rPr>
          <w:color w:val="auto"/>
        </w:rPr>
      </w:pPr>
      <w:r w:rsidRPr="007F481A">
        <w:rPr>
          <w:b/>
          <w:color w:val="auto"/>
        </w:rPr>
        <w:t>Annotators</w:t>
      </w:r>
    </w:p>
    <w:p w14:paraId="2A779171" w14:textId="77777777" w:rsidR="00F9572C" w:rsidRPr="007F481A" w:rsidRDefault="00F9572C" w:rsidP="00F9572C">
      <w:pPr>
        <w:pStyle w:val="ad"/>
        <w:ind w:leftChars="0" w:left="360"/>
        <w:rPr>
          <w:color w:val="auto"/>
        </w:rPr>
      </w:pPr>
    </w:p>
    <w:p w14:paraId="48135718" w14:textId="745A071F" w:rsidR="00F9572C" w:rsidRPr="007F481A" w:rsidRDefault="00F9572C" w:rsidP="00F9572C">
      <w:pPr>
        <w:pStyle w:val="ad"/>
        <w:ind w:leftChars="0" w:left="360"/>
        <w:rPr>
          <w:color w:val="auto"/>
        </w:rPr>
      </w:pPr>
      <w:r w:rsidRPr="007F481A">
        <w:rPr>
          <w:color w:val="auto"/>
        </w:rPr>
        <w:t xml:space="preserve">For </w:t>
      </w:r>
      <w:r w:rsidR="00F33920">
        <w:rPr>
          <w:color w:val="auto"/>
        </w:rPr>
        <w:t>revising</w:t>
      </w:r>
      <w:r w:rsidRPr="007F481A">
        <w:rPr>
          <w:color w:val="auto"/>
        </w:rPr>
        <w:t xml:space="preserve"> JNLPBA, we recruited two curators. Both had biological background, </w:t>
      </w:r>
      <w:proofErr w:type="spellStart"/>
      <w:r w:rsidRPr="007F481A">
        <w:rPr>
          <w:color w:val="auto"/>
        </w:rPr>
        <w:t>curation</w:t>
      </w:r>
      <w:proofErr w:type="spellEnd"/>
      <w:r w:rsidRPr="007F481A">
        <w:rPr>
          <w:color w:val="auto"/>
        </w:rPr>
        <w:t xml:space="preserve"> and natural language processing experiences. </w:t>
      </w:r>
      <w:r w:rsidR="00F33920">
        <w:rPr>
          <w:color w:val="auto"/>
        </w:rPr>
        <w:t>A</w:t>
      </w:r>
      <w:r w:rsidRPr="007F481A">
        <w:rPr>
          <w:color w:val="auto"/>
        </w:rPr>
        <w:t xml:space="preserve">nnotator 1 is a Ph.D. candidate </w:t>
      </w:r>
      <w:r w:rsidR="00807CD5">
        <w:rPr>
          <w:color w:val="auto"/>
        </w:rPr>
        <w:t>with</w:t>
      </w:r>
      <w:r w:rsidRPr="007F481A">
        <w:rPr>
          <w:color w:val="auto"/>
        </w:rPr>
        <w:t xml:space="preserve"> biological, chemical and medical background. </w:t>
      </w:r>
      <w:r w:rsidR="00F33920">
        <w:rPr>
          <w:color w:val="auto"/>
        </w:rPr>
        <w:t>A</w:t>
      </w:r>
      <w:r w:rsidRPr="007F481A">
        <w:rPr>
          <w:color w:val="auto"/>
        </w:rPr>
        <w:t>nnotator 2 is a full-time master research assistant</w:t>
      </w:r>
      <w:r w:rsidR="00807CD5">
        <w:rPr>
          <w:color w:val="auto"/>
        </w:rPr>
        <w:t xml:space="preserve"> with</w:t>
      </w:r>
      <w:r w:rsidRPr="007F481A">
        <w:rPr>
          <w:color w:val="auto"/>
        </w:rPr>
        <w:t xml:space="preserve"> biological, chemical and computer science background. </w:t>
      </w:r>
      <w:r w:rsidR="00807CD5">
        <w:rPr>
          <w:color w:val="auto"/>
        </w:rPr>
        <w:t>A</w:t>
      </w:r>
      <w:r w:rsidRPr="007F481A">
        <w:rPr>
          <w:color w:val="auto"/>
        </w:rPr>
        <w:t xml:space="preserve">nnotator 2 also had </w:t>
      </w:r>
      <w:r w:rsidR="00807CD5">
        <w:rPr>
          <w:color w:val="auto"/>
        </w:rPr>
        <w:t xml:space="preserve">extensive </w:t>
      </w:r>
      <w:proofErr w:type="spellStart"/>
      <w:r w:rsidRPr="007F481A">
        <w:rPr>
          <w:color w:val="auto"/>
        </w:rPr>
        <w:t>curation</w:t>
      </w:r>
      <w:proofErr w:type="spellEnd"/>
      <w:r w:rsidRPr="007F481A">
        <w:rPr>
          <w:color w:val="auto"/>
        </w:rPr>
        <w:t xml:space="preserve"> experiences. Each article was annotated independently by</w:t>
      </w:r>
      <w:r w:rsidR="00807CD5">
        <w:rPr>
          <w:color w:val="auto"/>
        </w:rPr>
        <w:t xml:space="preserve"> the </w:t>
      </w:r>
      <w:r w:rsidRPr="007F481A">
        <w:rPr>
          <w:color w:val="auto"/>
        </w:rPr>
        <w:t>two annotators. Differences were resolved through discussion.</w:t>
      </w:r>
    </w:p>
    <w:p w14:paraId="290112A8" w14:textId="77777777" w:rsidR="00F9572C" w:rsidRPr="007F481A" w:rsidRDefault="00F9572C" w:rsidP="00F9572C">
      <w:pPr>
        <w:rPr>
          <w:color w:val="auto"/>
        </w:rPr>
      </w:pPr>
    </w:p>
    <w:p w14:paraId="29356FD4" w14:textId="77777777" w:rsidR="00F9572C" w:rsidRPr="007F481A" w:rsidRDefault="00F9572C" w:rsidP="00F9572C">
      <w:pPr>
        <w:pStyle w:val="ad"/>
        <w:numPr>
          <w:ilvl w:val="0"/>
          <w:numId w:val="4"/>
        </w:numPr>
        <w:ind w:leftChars="0"/>
        <w:rPr>
          <w:color w:val="auto"/>
        </w:rPr>
      </w:pPr>
      <w:r w:rsidRPr="007F481A">
        <w:rPr>
          <w:b/>
          <w:color w:val="auto"/>
        </w:rPr>
        <w:t>Annotation tool</w:t>
      </w:r>
    </w:p>
    <w:p w14:paraId="020FE5B8" w14:textId="77777777" w:rsidR="00F9572C" w:rsidRPr="007F481A" w:rsidRDefault="00F9572C" w:rsidP="00F9572C">
      <w:pPr>
        <w:pStyle w:val="ad"/>
        <w:ind w:leftChars="0" w:left="360"/>
        <w:rPr>
          <w:color w:val="auto"/>
        </w:rPr>
      </w:pPr>
    </w:p>
    <w:p w14:paraId="36EC852F" w14:textId="11D9A687" w:rsidR="00F9572C" w:rsidRPr="007F481A" w:rsidRDefault="00F9572C" w:rsidP="00F9572C">
      <w:pPr>
        <w:pStyle w:val="ad"/>
        <w:ind w:leftChars="0" w:left="360"/>
        <w:rPr>
          <w:color w:val="auto"/>
        </w:rPr>
      </w:pPr>
      <w:r w:rsidRPr="007F481A">
        <w:rPr>
          <w:color w:val="auto"/>
        </w:rPr>
        <w:t xml:space="preserve">The curators used the brat annotation tool to </w:t>
      </w:r>
      <w:r w:rsidR="00807CD5" w:rsidRPr="007F481A">
        <w:rPr>
          <w:color w:val="auto"/>
        </w:rPr>
        <w:t>manually revise the annotations of the JNLPBA corpus according to the annotation guideline.</w:t>
      </w:r>
      <w:r w:rsidRPr="007F481A">
        <w:rPr>
          <w:color w:val="auto"/>
        </w:rPr>
        <w:t xml:space="preserve"> </w:t>
      </w:r>
    </w:p>
    <w:p w14:paraId="2ABE1E8A" w14:textId="77777777" w:rsidR="00F9572C" w:rsidRPr="007F481A" w:rsidRDefault="00F9572C" w:rsidP="00F9572C">
      <w:pPr>
        <w:rPr>
          <w:color w:val="auto"/>
        </w:rPr>
      </w:pPr>
    </w:p>
    <w:p w14:paraId="5AA66308" w14:textId="77777777" w:rsidR="00F9572C" w:rsidRPr="007F481A" w:rsidRDefault="00F9572C" w:rsidP="00F9572C">
      <w:pPr>
        <w:pStyle w:val="ad"/>
        <w:numPr>
          <w:ilvl w:val="0"/>
          <w:numId w:val="4"/>
        </w:numPr>
        <w:ind w:leftChars="0"/>
        <w:rPr>
          <w:color w:val="auto"/>
        </w:rPr>
      </w:pPr>
      <w:r w:rsidRPr="007F481A">
        <w:rPr>
          <w:b/>
          <w:color w:val="auto"/>
        </w:rPr>
        <w:t xml:space="preserve">Annotation Guideline </w:t>
      </w:r>
    </w:p>
    <w:p w14:paraId="3C320E03" w14:textId="77777777" w:rsidR="00F9572C" w:rsidRPr="007F481A" w:rsidRDefault="00F9572C" w:rsidP="00F9572C">
      <w:pPr>
        <w:pStyle w:val="ad"/>
        <w:ind w:leftChars="0" w:left="360"/>
        <w:rPr>
          <w:color w:val="auto"/>
        </w:rPr>
      </w:pPr>
    </w:p>
    <w:p w14:paraId="67505657" w14:textId="0BF0DD8C" w:rsidR="00F9572C" w:rsidRPr="007F481A" w:rsidRDefault="00807CD5" w:rsidP="00F9572C">
      <w:pPr>
        <w:pStyle w:val="ad"/>
        <w:ind w:leftChars="0" w:left="360"/>
        <w:rPr>
          <w:color w:val="auto"/>
        </w:rPr>
      </w:pPr>
      <w:r>
        <w:rPr>
          <w:color w:val="auto"/>
        </w:rPr>
        <w:t>The f</w:t>
      </w:r>
      <w:r w:rsidR="00F9572C" w:rsidRPr="007F481A">
        <w:rPr>
          <w:color w:val="auto"/>
        </w:rPr>
        <w:t>ollowing rules</w:t>
      </w:r>
      <w:r>
        <w:rPr>
          <w:color w:val="auto"/>
        </w:rPr>
        <w:t xml:space="preserve"> were</w:t>
      </w:r>
      <w:r w:rsidR="00F9572C" w:rsidRPr="007F481A">
        <w:rPr>
          <w:color w:val="auto"/>
        </w:rPr>
        <w:t xml:space="preserve"> used for </w:t>
      </w:r>
      <w:r>
        <w:rPr>
          <w:color w:val="auto"/>
        </w:rPr>
        <w:t>revis</w:t>
      </w:r>
      <w:r w:rsidRPr="007F481A">
        <w:rPr>
          <w:color w:val="auto"/>
        </w:rPr>
        <w:t xml:space="preserve">ing </w:t>
      </w:r>
      <w:r w:rsidR="00F9572C" w:rsidRPr="007F481A">
        <w:rPr>
          <w:color w:val="auto"/>
        </w:rPr>
        <w:t>the JNLPBA corpus.</w:t>
      </w:r>
    </w:p>
    <w:p w14:paraId="100D2BDD" w14:textId="77777777" w:rsidR="00F9572C" w:rsidRPr="007F481A" w:rsidRDefault="00F9572C" w:rsidP="00F9572C">
      <w:pPr>
        <w:rPr>
          <w:color w:val="auto"/>
        </w:rPr>
      </w:pPr>
      <w:r w:rsidRPr="007F481A">
        <w:rPr>
          <w:color w:val="auto"/>
        </w:rPr>
        <w:t xml:space="preserve"> </w:t>
      </w:r>
    </w:p>
    <w:p w14:paraId="6458721C" w14:textId="77777777" w:rsidR="00F9572C" w:rsidRPr="007F481A" w:rsidRDefault="00F9572C" w:rsidP="00F9572C">
      <w:pPr>
        <w:pStyle w:val="ad"/>
        <w:numPr>
          <w:ilvl w:val="1"/>
          <w:numId w:val="4"/>
        </w:numPr>
        <w:ind w:leftChars="0"/>
        <w:jc w:val="both"/>
        <w:rPr>
          <w:color w:val="auto"/>
        </w:rPr>
      </w:pPr>
      <w:r w:rsidRPr="007F481A">
        <w:rPr>
          <w:b/>
          <w:color w:val="auto"/>
        </w:rPr>
        <w:t>General Rules:</w:t>
      </w:r>
    </w:p>
    <w:p w14:paraId="301E782F" w14:textId="77777777" w:rsidR="00F9572C" w:rsidRPr="007F481A" w:rsidRDefault="00F9572C" w:rsidP="00F9572C">
      <w:pPr>
        <w:ind w:left="480"/>
        <w:jc w:val="both"/>
        <w:rPr>
          <w:color w:val="auto"/>
        </w:rPr>
      </w:pPr>
    </w:p>
    <w:p w14:paraId="1BF57F04" w14:textId="327001D4" w:rsidR="00F9572C" w:rsidRPr="007F481A" w:rsidRDefault="00F9572C" w:rsidP="00F9572C">
      <w:pPr>
        <w:ind w:left="480"/>
        <w:jc w:val="both"/>
        <w:rPr>
          <w:b/>
          <w:color w:val="auto"/>
        </w:rPr>
      </w:pPr>
      <w:r w:rsidRPr="007F481A">
        <w:rPr>
          <w:b/>
          <w:color w:val="auto"/>
        </w:rPr>
        <w:t>Rule 1: Remov</w:t>
      </w:r>
      <w:r w:rsidR="008D09AC">
        <w:rPr>
          <w:b/>
          <w:color w:val="auto"/>
        </w:rPr>
        <w:t>ing</w:t>
      </w:r>
      <w:r w:rsidRPr="007F481A">
        <w:rPr>
          <w:b/>
          <w:color w:val="auto"/>
        </w:rPr>
        <w:t xml:space="preserve"> General NEs</w:t>
      </w:r>
    </w:p>
    <w:p w14:paraId="34166B0F" w14:textId="77777777" w:rsidR="00F9572C" w:rsidRPr="007F481A" w:rsidRDefault="00F9572C" w:rsidP="00F9572C">
      <w:pPr>
        <w:ind w:left="480"/>
        <w:jc w:val="both"/>
        <w:rPr>
          <w:color w:val="auto"/>
        </w:rPr>
      </w:pPr>
    </w:p>
    <w:p w14:paraId="5B15F78A" w14:textId="5307AE99" w:rsidR="00F9572C" w:rsidRPr="007F481A" w:rsidRDefault="00F9572C" w:rsidP="00F9572C">
      <w:pPr>
        <w:ind w:left="480"/>
        <w:jc w:val="both"/>
        <w:rPr>
          <w:color w:val="auto"/>
        </w:rPr>
      </w:pPr>
      <w:r w:rsidRPr="007F481A">
        <w:rPr>
          <w:color w:val="auto"/>
        </w:rPr>
        <w:t xml:space="preserve">In JNLPBA, sometimes nonspecific molecules, like </w:t>
      </w:r>
      <w:r w:rsidRPr="007F481A">
        <w:rPr>
          <w:i/>
          <w:color w:val="auto"/>
        </w:rPr>
        <w:t>“upstream regulatory region”</w:t>
      </w:r>
      <w:r w:rsidRPr="007F481A">
        <w:rPr>
          <w:color w:val="auto"/>
        </w:rPr>
        <w:t xml:space="preserve">, </w:t>
      </w:r>
      <w:r w:rsidRPr="007F481A">
        <w:rPr>
          <w:i/>
          <w:color w:val="auto"/>
        </w:rPr>
        <w:t>“60-kDa protein”</w:t>
      </w:r>
      <w:r w:rsidRPr="007F481A">
        <w:rPr>
          <w:color w:val="auto"/>
        </w:rPr>
        <w:t xml:space="preserve"> and </w:t>
      </w:r>
      <w:r w:rsidRPr="007F481A">
        <w:rPr>
          <w:i/>
          <w:color w:val="auto"/>
        </w:rPr>
        <w:t>“cytokines”</w:t>
      </w:r>
      <w:r w:rsidRPr="007F481A">
        <w:rPr>
          <w:color w:val="auto"/>
        </w:rPr>
        <w:t xml:space="preserve">, are annotated as NEs. However, these terms are too general to be linked to any database ID, like </w:t>
      </w:r>
      <w:proofErr w:type="spellStart"/>
      <w:r w:rsidRPr="007F481A">
        <w:rPr>
          <w:color w:val="auto"/>
        </w:rPr>
        <w:t>Entrez</w:t>
      </w:r>
      <w:proofErr w:type="spellEnd"/>
      <w:r w:rsidRPr="007F481A">
        <w:rPr>
          <w:color w:val="auto"/>
        </w:rPr>
        <w:t xml:space="preserve"> ID or </w:t>
      </w:r>
      <w:proofErr w:type="spellStart"/>
      <w:r w:rsidRPr="007F481A">
        <w:rPr>
          <w:color w:val="auto"/>
        </w:rPr>
        <w:t>Uniprot</w:t>
      </w:r>
      <w:proofErr w:type="spellEnd"/>
      <w:r w:rsidRPr="007F481A">
        <w:rPr>
          <w:color w:val="auto"/>
        </w:rPr>
        <w:t xml:space="preserve"> ID. </w:t>
      </w:r>
      <w:r w:rsidR="008856D6">
        <w:rPr>
          <w:color w:val="auto"/>
        </w:rPr>
        <w:t>Such</w:t>
      </w:r>
      <w:r w:rsidRPr="007F481A">
        <w:rPr>
          <w:color w:val="auto"/>
        </w:rPr>
        <w:t xml:space="preserve"> general terms usually are</w:t>
      </w:r>
      <w:r w:rsidR="008D09AC">
        <w:rPr>
          <w:color w:val="auto"/>
        </w:rPr>
        <w:t xml:space="preserve"> not</w:t>
      </w:r>
      <w:r w:rsidRPr="007F481A">
        <w:rPr>
          <w:color w:val="auto"/>
        </w:rPr>
        <w:t xml:space="preserve"> labeled as target NEs in the BRE tasks</w:t>
      </w:r>
      <w:r w:rsidR="008856D6">
        <w:rPr>
          <w:color w:val="auto"/>
        </w:rPr>
        <w:t>, and thus, are removed</w:t>
      </w:r>
      <w:r w:rsidRPr="007F481A">
        <w:rPr>
          <w:color w:val="auto"/>
        </w:rPr>
        <w:t>.</w:t>
      </w:r>
    </w:p>
    <w:p w14:paraId="74C641D8" w14:textId="77777777" w:rsidR="00F9572C" w:rsidRPr="007F481A" w:rsidRDefault="00F9572C" w:rsidP="00F9572C">
      <w:pPr>
        <w:ind w:left="480"/>
        <w:jc w:val="both"/>
        <w:rPr>
          <w:color w:val="auto"/>
        </w:rPr>
      </w:pPr>
    </w:p>
    <w:p w14:paraId="74D8FE11" w14:textId="764BFC95" w:rsidR="00F9572C" w:rsidRPr="007F481A" w:rsidRDefault="00F9572C" w:rsidP="00F9572C">
      <w:pPr>
        <w:ind w:left="480"/>
        <w:jc w:val="both"/>
        <w:rPr>
          <w:b/>
          <w:color w:val="auto"/>
        </w:rPr>
      </w:pPr>
      <w:r w:rsidRPr="007F481A">
        <w:rPr>
          <w:b/>
          <w:color w:val="auto"/>
        </w:rPr>
        <w:t>Rule 2: Add</w:t>
      </w:r>
      <w:r w:rsidR="008D09AC">
        <w:rPr>
          <w:b/>
          <w:color w:val="auto"/>
        </w:rPr>
        <w:t>ing</w:t>
      </w:r>
      <w:r w:rsidRPr="007F481A">
        <w:rPr>
          <w:b/>
          <w:color w:val="auto"/>
        </w:rPr>
        <w:t xml:space="preserve"> Miss</w:t>
      </w:r>
      <w:r w:rsidR="008856D6">
        <w:rPr>
          <w:b/>
          <w:color w:val="auto"/>
        </w:rPr>
        <w:t>ing</w:t>
      </w:r>
      <w:r w:rsidRPr="007F481A">
        <w:rPr>
          <w:b/>
          <w:color w:val="auto"/>
        </w:rPr>
        <w:t xml:space="preserve"> NEs</w:t>
      </w:r>
    </w:p>
    <w:p w14:paraId="4397C318" w14:textId="77777777" w:rsidR="00F9572C" w:rsidRPr="007F481A" w:rsidRDefault="00F9572C" w:rsidP="00F9572C">
      <w:pPr>
        <w:ind w:left="480"/>
        <w:jc w:val="both"/>
        <w:rPr>
          <w:color w:val="auto"/>
        </w:rPr>
      </w:pPr>
    </w:p>
    <w:p w14:paraId="30243F5E" w14:textId="5C25DD68" w:rsidR="00F9572C" w:rsidRPr="007F481A" w:rsidRDefault="00F9572C" w:rsidP="00F9572C">
      <w:pPr>
        <w:ind w:left="480"/>
        <w:jc w:val="both"/>
        <w:rPr>
          <w:color w:val="auto"/>
        </w:rPr>
      </w:pPr>
      <w:r w:rsidRPr="007F481A">
        <w:rPr>
          <w:color w:val="auto"/>
        </w:rPr>
        <w:t>Due to the considerable size of JNLPBA, sometimes annotations are missed</w:t>
      </w:r>
      <w:r w:rsidR="008D09AC">
        <w:rPr>
          <w:color w:val="auto"/>
        </w:rPr>
        <w:t>, which are recovered now</w:t>
      </w:r>
      <w:r w:rsidRPr="007F481A">
        <w:rPr>
          <w:color w:val="auto"/>
        </w:rPr>
        <w:t>.</w:t>
      </w:r>
    </w:p>
    <w:p w14:paraId="799FD635" w14:textId="77777777" w:rsidR="00F9572C" w:rsidRPr="007F481A" w:rsidRDefault="00F9572C" w:rsidP="00F9572C">
      <w:pPr>
        <w:ind w:left="480"/>
        <w:jc w:val="both"/>
        <w:rPr>
          <w:color w:val="auto"/>
        </w:rPr>
      </w:pPr>
    </w:p>
    <w:p w14:paraId="03E9A006" w14:textId="33ABD398" w:rsidR="00F9572C" w:rsidRPr="007F481A" w:rsidRDefault="00F9572C" w:rsidP="00F9572C">
      <w:pPr>
        <w:ind w:left="480"/>
        <w:jc w:val="both"/>
        <w:rPr>
          <w:b/>
          <w:color w:val="auto"/>
        </w:rPr>
      </w:pPr>
      <w:r w:rsidRPr="007F481A">
        <w:rPr>
          <w:b/>
          <w:color w:val="auto"/>
        </w:rPr>
        <w:t>Rule 3: Adjust</w:t>
      </w:r>
      <w:r w:rsidR="008856D6">
        <w:rPr>
          <w:b/>
          <w:color w:val="auto"/>
        </w:rPr>
        <w:t>ing</w:t>
      </w:r>
      <w:r w:rsidRPr="007F481A">
        <w:rPr>
          <w:b/>
          <w:color w:val="auto"/>
        </w:rPr>
        <w:t xml:space="preserve"> NE Types</w:t>
      </w:r>
    </w:p>
    <w:p w14:paraId="34ACC7E5" w14:textId="77777777" w:rsidR="00F9572C" w:rsidRPr="007F481A" w:rsidRDefault="00F9572C" w:rsidP="00F9572C">
      <w:pPr>
        <w:ind w:left="480"/>
        <w:jc w:val="both"/>
        <w:rPr>
          <w:color w:val="auto"/>
        </w:rPr>
      </w:pPr>
    </w:p>
    <w:p w14:paraId="637D5B21" w14:textId="4321D7B4" w:rsidR="00F9572C" w:rsidRPr="007F481A" w:rsidRDefault="00F9572C" w:rsidP="00F9572C">
      <w:pPr>
        <w:ind w:left="480"/>
        <w:jc w:val="both"/>
        <w:rPr>
          <w:color w:val="auto"/>
        </w:rPr>
      </w:pPr>
      <w:r w:rsidRPr="007F481A">
        <w:rPr>
          <w:color w:val="auto"/>
        </w:rPr>
        <w:t xml:space="preserve">Sometimes cell type </w:t>
      </w:r>
      <w:r w:rsidR="008856D6">
        <w:rPr>
          <w:color w:val="auto"/>
        </w:rPr>
        <w:t>such as</w:t>
      </w:r>
      <w:r w:rsidRPr="007F481A">
        <w:rPr>
          <w:color w:val="auto"/>
        </w:rPr>
        <w:t xml:space="preserve"> </w:t>
      </w:r>
      <w:r w:rsidRPr="007F481A">
        <w:rPr>
          <w:i/>
          <w:color w:val="auto"/>
        </w:rPr>
        <w:t>“senescent T cells”</w:t>
      </w:r>
      <w:r w:rsidRPr="007F481A">
        <w:rPr>
          <w:color w:val="auto"/>
        </w:rPr>
        <w:t xml:space="preserve"> is </w:t>
      </w:r>
      <w:r w:rsidR="0002202A">
        <w:rPr>
          <w:color w:val="auto"/>
        </w:rPr>
        <w:t>mistaken</w:t>
      </w:r>
      <w:r w:rsidRPr="007F481A">
        <w:rPr>
          <w:color w:val="auto"/>
        </w:rPr>
        <w:t xml:space="preserve"> as cell line</w:t>
      </w:r>
      <w:r w:rsidR="008856D6">
        <w:rPr>
          <w:color w:val="auto"/>
        </w:rPr>
        <w:t>. Thus</w:t>
      </w:r>
      <w:r w:rsidRPr="007F481A">
        <w:rPr>
          <w:color w:val="auto"/>
        </w:rPr>
        <w:t xml:space="preserve">, </w:t>
      </w:r>
      <w:r w:rsidR="008856D6">
        <w:rPr>
          <w:color w:val="auto"/>
        </w:rPr>
        <w:t xml:space="preserve">all NE types </w:t>
      </w:r>
      <w:r w:rsidRPr="007F481A">
        <w:rPr>
          <w:color w:val="auto"/>
        </w:rPr>
        <w:t>are reconfirmed</w:t>
      </w:r>
      <w:r w:rsidR="008856D6">
        <w:rPr>
          <w:color w:val="auto"/>
        </w:rPr>
        <w:t xml:space="preserve">. </w:t>
      </w:r>
    </w:p>
    <w:p w14:paraId="5B1DF101" w14:textId="77777777" w:rsidR="00F9572C" w:rsidRPr="007F481A" w:rsidRDefault="00F9572C" w:rsidP="00F9572C">
      <w:pPr>
        <w:pStyle w:val="ad"/>
        <w:ind w:leftChars="0" w:left="360"/>
        <w:jc w:val="both"/>
        <w:rPr>
          <w:color w:val="auto"/>
        </w:rPr>
      </w:pPr>
    </w:p>
    <w:p w14:paraId="26B3A269" w14:textId="77777777" w:rsidR="00F9572C" w:rsidRPr="007F481A" w:rsidRDefault="00F9572C" w:rsidP="00F9572C">
      <w:pPr>
        <w:pStyle w:val="ad"/>
        <w:numPr>
          <w:ilvl w:val="1"/>
          <w:numId w:val="4"/>
        </w:numPr>
        <w:ind w:leftChars="0"/>
        <w:jc w:val="both"/>
        <w:rPr>
          <w:color w:val="auto"/>
        </w:rPr>
      </w:pPr>
      <w:r w:rsidRPr="007F481A">
        <w:rPr>
          <w:b/>
          <w:color w:val="auto"/>
        </w:rPr>
        <w:t>Specific Rules:</w:t>
      </w:r>
    </w:p>
    <w:p w14:paraId="546A50F6" w14:textId="77777777" w:rsidR="00F9572C" w:rsidRPr="007F481A" w:rsidRDefault="00F9572C" w:rsidP="00F9572C">
      <w:pPr>
        <w:ind w:left="480"/>
        <w:jc w:val="both"/>
        <w:rPr>
          <w:color w:val="auto"/>
        </w:rPr>
      </w:pPr>
    </w:p>
    <w:p w14:paraId="0DB0DDC3" w14:textId="03BD0F97" w:rsidR="00F9572C" w:rsidRPr="007F481A" w:rsidRDefault="00F9572C" w:rsidP="00F9572C">
      <w:pPr>
        <w:ind w:left="480"/>
        <w:jc w:val="both"/>
        <w:rPr>
          <w:color w:val="auto"/>
        </w:rPr>
      </w:pPr>
      <w:bookmarkStart w:id="1" w:name="OLE_LINK9"/>
      <w:r w:rsidRPr="007F2A8C">
        <w:rPr>
          <w:color w:val="auto"/>
        </w:rPr>
        <w:t>There is an important principle</w:t>
      </w:r>
      <w:r w:rsidRPr="007F481A">
        <w:rPr>
          <w:color w:val="auto"/>
        </w:rPr>
        <w:t xml:space="preserve"> that must be elucidated first before </w:t>
      </w:r>
      <w:r w:rsidR="00F33920">
        <w:rPr>
          <w:color w:val="auto"/>
        </w:rPr>
        <w:t>explaining</w:t>
      </w:r>
      <w:r w:rsidR="00F33920" w:rsidRPr="007F481A">
        <w:rPr>
          <w:color w:val="auto"/>
        </w:rPr>
        <w:t xml:space="preserve"> </w:t>
      </w:r>
      <w:r w:rsidRPr="007F481A">
        <w:rPr>
          <w:color w:val="auto"/>
        </w:rPr>
        <w:t xml:space="preserve">the detailed criteria of specific rules. The principle is </w:t>
      </w:r>
      <w:r w:rsidR="00F33920">
        <w:rPr>
          <w:color w:val="auto"/>
        </w:rPr>
        <w:t>that,</w:t>
      </w:r>
      <w:r w:rsidR="00F33920" w:rsidRPr="007F481A">
        <w:rPr>
          <w:color w:val="auto"/>
        </w:rPr>
        <w:t xml:space="preserve"> </w:t>
      </w:r>
      <w:r w:rsidRPr="007F481A">
        <w:rPr>
          <w:color w:val="auto"/>
        </w:rPr>
        <w:t>when the target NE and surrounding contexts cannot provide any evidence to support the assignment of NE type</w:t>
      </w:r>
      <w:r w:rsidR="00F33920">
        <w:rPr>
          <w:color w:val="auto"/>
        </w:rPr>
        <w:t>, this NE is labeled as protein</w:t>
      </w:r>
      <w:r w:rsidRPr="007F481A">
        <w:rPr>
          <w:color w:val="auto"/>
        </w:rPr>
        <w:t>.</w:t>
      </w:r>
      <w:bookmarkEnd w:id="1"/>
      <w:r w:rsidRPr="007F481A">
        <w:rPr>
          <w:color w:val="auto"/>
        </w:rPr>
        <w:t xml:space="preserve"> For instance, the paper title </w:t>
      </w:r>
      <w:r w:rsidRPr="007F481A">
        <w:rPr>
          <w:i/>
          <w:color w:val="auto"/>
        </w:rPr>
        <w:t>“An essential role for NF-</w:t>
      </w:r>
      <w:proofErr w:type="spellStart"/>
      <w:r w:rsidRPr="007F481A">
        <w:rPr>
          <w:i/>
          <w:color w:val="auto"/>
        </w:rPr>
        <w:t>kappaB</w:t>
      </w:r>
      <w:proofErr w:type="spellEnd"/>
      <w:r w:rsidRPr="007F481A">
        <w:rPr>
          <w:i/>
          <w:color w:val="auto"/>
        </w:rPr>
        <w:t xml:space="preserve"> in human CD34 </w:t>
      </w:r>
      <w:proofErr w:type="gramStart"/>
      <w:r w:rsidRPr="007F481A">
        <w:rPr>
          <w:i/>
          <w:color w:val="auto"/>
        </w:rPr>
        <w:t>( +</w:t>
      </w:r>
      <w:proofErr w:type="gramEnd"/>
      <w:r w:rsidRPr="007F481A">
        <w:rPr>
          <w:i/>
          <w:color w:val="auto"/>
        </w:rPr>
        <w:t xml:space="preserve"> ) bone marrow cell survival.”</w:t>
      </w:r>
      <w:r w:rsidRPr="007F481A">
        <w:rPr>
          <w:color w:val="auto"/>
        </w:rPr>
        <w:t xml:space="preserve"> is insufficient to discriminate the NE type of </w:t>
      </w:r>
      <w:r w:rsidRPr="007F481A">
        <w:rPr>
          <w:i/>
          <w:color w:val="auto"/>
        </w:rPr>
        <w:t>“NF-</w:t>
      </w:r>
      <w:proofErr w:type="spellStart"/>
      <w:r w:rsidRPr="007F481A">
        <w:rPr>
          <w:i/>
          <w:color w:val="auto"/>
        </w:rPr>
        <w:t>kappaB</w:t>
      </w:r>
      <w:proofErr w:type="spellEnd"/>
      <w:r w:rsidRPr="007F481A">
        <w:rPr>
          <w:i/>
          <w:color w:val="auto"/>
        </w:rPr>
        <w:t>”</w:t>
      </w:r>
      <w:r w:rsidRPr="007F481A">
        <w:rPr>
          <w:color w:val="auto"/>
        </w:rPr>
        <w:t xml:space="preserve">. As </w:t>
      </w:r>
      <w:r w:rsidR="00D74CDF">
        <w:rPr>
          <w:color w:val="auto"/>
        </w:rPr>
        <w:t>a</w:t>
      </w:r>
      <w:r w:rsidR="00D74CDF" w:rsidRPr="007F481A">
        <w:rPr>
          <w:color w:val="auto"/>
        </w:rPr>
        <w:t xml:space="preserve"> </w:t>
      </w:r>
      <w:r w:rsidRPr="007F481A">
        <w:rPr>
          <w:color w:val="auto"/>
        </w:rPr>
        <w:t xml:space="preserve">consequence, </w:t>
      </w:r>
      <w:r w:rsidRPr="007F481A">
        <w:rPr>
          <w:i/>
          <w:color w:val="auto"/>
        </w:rPr>
        <w:t>“NF-</w:t>
      </w:r>
      <w:proofErr w:type="spellStart"/>
      <w:r w:rsidRPr="007F481A">
        <w:rPr>
          <w:i/>
          <w:color w:val="auto"/>
        </w:rPr>
        <w:t>kappaB</w:t>
      </w:r>
      <w:proofErr w:type="spellEnd"/>
      <w:r w:rsidRPr="007F481A">
        <w:rPr>
          <w:i/>
          <w:color w:val="auto"/>
        </w:rPr>
        <w:t>”</w:t>
      </w:r>
      <w:r w:rsidRPr="007F481A">
        <w:rPr>
          <w:color w:val="auto"/>
        </w:rPr>
        <w:t xml:space="preserve"> is labeled as </w:t>
      </w:r>
      <w:r w:rsidRPr="007F481A">
        <w:rPr>
          <w:color w:val="auto"/>
        </w:rPr>
        <w:lastRenderedPageBreak/>
        <w:t>protein type since the molecule which is responsible to carry out the biological function is protein.</w:t>
      </w:r>
    </w:p>
    <w:p w14:paraId="553846FF" w14:textId="77777777" w:rsidR="00F9572C" w:rsidRPr="007F481A" w:rsidRDefault="00F9572C" w:rsidP="00F9572C">
      <w:pPr>
        <w:ind w:left="480"/>
        <w:jc w:val="both"/>
        <w:rPr>
          <w:color w:val="auto"/>
        </w:rPr>
      </w:pPr>
    </w:p>
    <w:p w14:paraId="6B089793" w14:textId="77777777" w:rsidR="00F9572C" w:rsidRPr="007F481A" w:rsidRDefault="00F9572C" w:rsidP="00F9572C">
      <w:pPr>
        <w:ind w:left="480"/>
        <w:jc w:val="both"/>
        <w:rPr>
          <w:b/>
          <w:color w:val="auto"/>
        </w:rPr>
      </w:pPr>
      <w:bookmarkStart w:id="2" w:name="OLE_LINK6"/>
      <w:r w:rsidRPr="007F481A">
        <w:rPr>
          <w:b/>
          <w:color w:val="auto"/>
        </w:rPr>
        <w:t>Rule 1: Adjective rule</w:t>
      </w:r>
    </w:p>
    <w:bookmarkEnd w:id="2"/>
    <w:p w14:paraId="43ABD4AB" w14:textId="77777777" w:rsidR="00F9572C" w:rsidRPr="007F481A" w:rsidRDefault="00F9572C" w:rsidP="00F9572C">
      <w:pPr>
        <w:ind w:left="480"/>
        <w:jc w:val="both"/>
        <w:rPr>
          <w:color w:val="auto"/>
        </w:rPr>
      </w:pPr>
    </w:p>
    <w:p w14:paraId="320A7E1C" w14:textId="5485E11E" w:rsidR="00F9572C" w:rsidRPr="007F481A" w:rsidRDefault="00F9572C" w:rsidP="00F9572C">
      <w:pPr>
        <w:ind w:left="480"/>
        <w:jc w:val="both"/>
        <w:rPr>
          <w:color w:val="auto"/>
        </w:rPr>
      </w:pPr>
      <w:r w:rsidRPr="007F481A">
        <w:rPr>
          <w:color w:val="auto"/>
        </w:rPr>
        <w:t xml:space="preserve">Only the adjectives </w:t>
      </w:r>
      <w:r w:rsidR="000E6045">
        <w:rPr>
          <w:color w:val="auto"/>
        </w:rPr>
        <w:t>preceding</w:t>
      </w:r>
      <w:r w:rsidRPr="007F481A">
        <w:rPr>
          <w:color w:val="auto"/>
        </w:rPr>
        <w:t xml:space="preserve"> an NE that help biologists identify the NE’s are included in the NE boundary. Otherwise, they are removed. Moreover, the preserved adjectives often provide the intrinsic properties of described NEs. For example, </w:t>
      </w:r>
      <w:r w:rsidRPr="007F481A">
        <w:rPr>
          <w:i/>
          <w:color w:val="auto"/>
        </w:rPr>
        <w:t>“human”</w:t>
      </w:r>
      <w:r w:rsidRPr="007F481A">
        <w:rPr>
          <w:color w:val="auto"/>
        </w:rPr>
        <w:t xml:space="preserve"> would be included in </w:t>
      </w:r>
      <w:r w:rsidRPr="007F481A">
        <w:rPr>
          <w:i/>
          <w:color w:val="auto"/>
        </w:rPr>
        <w:t>“human GM-CSF gene”</w:t>
      </w:r>
      <w:r w:rsidRPr="007F481A">
        <w:rPr>
          <w:color w:val="auto"/>
        </w:rPr>
        <w:t xml:space="preserve"> because it is related to the NE’s species and can help biologists to determine the NE’s identifier. In contrast, “abnormal” would be excluded from </w:t>
      </w:r>
      <w:r w:rsidRPr="007F481A">
        <w:rPr>
          <w:i/>
          <w:color w:val="auto"/>
        </w:rPr>
        <w:t xml:space="preserve">“abnormal blast cells” </w:t>
      </w:r>
      <w:r w:rsidRPr="007F481A">
        <w:rPr>
          <w:color w:val="auto"/>
        </w:rPr>
        <w:t>since the adjective displays an extrinsic property of target NE.</w:t>
      </w:r>
    </w:p>
    <w:p w14:paraId="5794D7C7" w14:textId="77777777" w:rsidR="00F9572C" w:rsidRPr="007F481A" w:rsidRDefault="00F9572C" w:rsidP="00F9572C">
      <w:pPr>
        <w:ind w:left="480"/>
        <w:jc w:val="both"/>
        <w:rPr>
          <w:color w:val="auto"/>
        </w:rPr>
      </w:pPr>
    </w:p>
    <w:p w14:paraId="0426E4CF" w14:textId="77777777" w:rsidR="00F9572C" w:rsidRPr="007F481A" w:rsidRDefault="00F9572C" w:rsidP="00F9572C">
      <w:pPr>
        <w:ind w:left="480"/>
        <w:jc w:val="both"/>
        <w:rPr>
          <w:b/>
          <w:color w:val="auto"/>
        </w:rPr>
      </w:pPr>
      <w:r w:rsidRPr="007F481A">
        <w:rPr>
          <w:b/>
          <w:color w:val="auto"/>
        </w:rPr>
        <w:t xml:space="preserve">Rule 2: Verb rule </w:t>
      </w:r>
      <w:proofErr w:type="spellStart"/>
      <w:r w:rsidRPr="007F481A">
        <w:rPr>
          <w:b/>
          <w:color w:val="auto"/>
        </w:rPr>
        <w:t>Ving</w:t>
      </w:r>
      <w:proofErr w:type="spellEnd"/>
      <w:r w:rsidRPr="007F481A">
        <w:rPr>
          <w:b/>
          <w:color w:val="auto"/>
        </w:rPr>
        <w:t xml:space="preserve"> Event adjective verb rule</w:t>
      </w:r>
    </w:p>
    <w:p w14:paraId="632481CF" w14:textId="77777777" w:rsidR="00F9572C" w:rsidRPr="007F481A" w:rsidRDefault="00F9572C" w:rsidP="00F9572C">
      <w:pPr>
        <w:ind w:left="480"/>
        <w:jc w:val="both"/>
        <w:rPr>
          <w:color w:val="auto"/>
        </w:rPr>
      </w:pPr>
    </w:p>
    <w:p w14:paraId="0A94CD46" w14:textId="4C89B9D0" w:rsidR="00F9572C" w:rsidRPr="007F481A" w:rsidRDefault="00E2092C" w:rsidP="00F9572C">
      <w:pPr>
        <w:ind w:left="480"/>
        <w:jc w:val="both"/>
        <w:rPr>
          <w:color w:val="auto"/>
        </w:rPr>
      </w:pPr>
      <w:r w:rsidRPr="007F481A">
        <w:rPr>
          <w:color w:val="auto"/>
        </w:rPr>
        <w:t>If a protein-</w:t>
      </w:r>
      <w:proofErr w:type="spellStart"/>
      <w:r w:rsidRPr="007F481A">
        <w:rPr>
          <w:color w:val="auto"/>
        </w:rPr>
        <w:t>Ving</w:t>
      </w:r>
      <w:proofErr w:type="spellEnd"/>
      <w:r w:rsidRPr="007F481A">
        <w:rPr>
          <w:color w:val="auto"/>
        </w:rPr>
        <w:t xml:space="preserve"> or protein-</w:t>
      </w:r>
      <w:proofErr w:type="spellStart"/>
      <w:r w:rsidRPr="007F481A">
        <w:rPr>
          <w:color w:val="auto"/>
        </w:rPr>
        <w:t>Ved</w:t>
      </w:r>
      <w:proofErr w:type="spellEnd"/>
      <w:r w:rsidRPr="007F481A">
        <w:rPr>
          <w:color w:val="auto"/>
        </w:rPr>
        <w:t xml:space="preserve"> phrase is followed by a general term for the protein type, such as protein or transcription factor, protein-</w:t>
      </w:r>
      <w:proofErr w:type="spellStart"/>
      <w:r w:rsidRPr="007F481A">
        <w:rPr>
          <w:color w:val="auto"/>
        </w:rPr>
        <w:t>Ving</w:t>
      </w:r>
      <w:proofErr w:type="spellEnd"/>
      <w:r w:rsidRPr="007F481A">
        <w:rPr>
          <w:color w:val="auto"/>
        </w:rPr>
        <w:t>/V-</w:t>
      </w:r>
      <w:proofErr w:type="spellStart"/>
      <w:r w:rsidRPr="007F481A">
        <w:rPr>
          <w:color w:val="auto"/>
        </w:rPr>
        <w:t>ed</w:t>
      </w:r>
      <w:proofErr w:type="spellEnd"/>
      <w:r w:rsidRPr="007F481A">
        <w:rPr>
          <w:color w:val="auto"/>
        </w:rPr>
        <w:t xml:space="preserve"> [protein general term] should be annotated as one single protein mention. </w:t>
      </w:r>
      <w:r w:rsidR="00F9572C" w:rsidRPr="007F481A">
        <w:rPr>
          <w:color w:val="auto"/>
        </w:rPr>
        <w:t>If a protein-</w:t>
      </w:r>
      <w:proofErr w:type="spellStart"/>
      <w:r w:rsidR="00F9572C" w:rsidRPr="007F481A">
        <w:rPr>
          <w:color w:val="auto"/>
        </w:rPr>
        <w:t>Ving</w:t>
      </w:r>
      <w:proofErr w:type="spellEnd"/>
      <w:r w:rsidR="00F9572C" w:rsidRPr="007F481A">
        <w:rPr>
          <w:color w:val="auto"/>
        </w:rPr>
        <w:t xml:space="preserve"> or protein-</w:t>
      </w:r>
      <w:proofErr w:type="spellStart"/>
      <w:r w:rsidR="00F9572C" w:rsidRPr="007F481A">
        <w:rPr>
          <w:color w:val="auto"/>
        </w:rPr>
        <w:t>Ved</w:t>
      </w:r>
      <w:proofErr w:type="spellEnd"/>
      <w:r w:rsidR="00F9572C" w:rsidRPr="007F481A">
        <w:rPr>
          <w:color w:val="auto"/>
        </w:rPr>
        <w:t xml:space="preserve"> phrase is followed by a specific protein mention, then the first protein and the second protein mention should be annotated separately. </w:t>
      </w:r>
      <w:r w:rsidR="00D74CDF">
        <w:rPr>
          <w:color w:val="auto"/>
        </w:rPr>
        <w:t>For example</w:t>
      </w:r>
      <w:r w:rsidR="00F9572C" w:rsidRPr="007F481A">
        <w:rPr>
          <w:color w:val="auto"/>
        </w:rPr>
        <w:t xml:space="preserve">, </w:t>
      </w:r>
      <w:r w:rsidR="00F9572C" w:rsidRPr="007F481A">
        <w:rPr>
          <w:i/>
          <w:color w:val="auto"/>
        </w:rPr>
        <w:t>“</w:t>
      </w:r>
      <w:proofErr w:type="spellStart"/>
      <w:r w:rsidR="00F9572C" w:rsidRPr="007F481A">
        <w:rPr>
          <w:i/>
          <w:color w:val="auto"/>
        </w:rPr>
        <w:t>Octamer</w:t>
      </w:r>
      <w:proofErr w:type="spellEnd"/>
      <w:r w:rsidR="00F9572C" w:rsidRPr="007F481A">
        <w:rPr>
          <w:i/>
          <w:color w:val="auto"/>
        </w:rPr>
        <w:t>-binding proteins”</w:t>
      </w:r>
      <w:r w:rsidR="00F9572C" w:rsidRPr="007F481A">
        <w:rPr>
          <w:color w:val="auto"/>
        </w:rPr>
        <w:t xml:space="preserve"> will be labeled as </w:t>
      </w:r>
      <w:r w:rsidR="00F9572C" w:rsidRPr="007F481A">
        <w:rPr>
          <w:i/>
          <w:color w:val="auto"/>
        </w:rPr>
        <w:t>“</w:t>
      </w:r>
      <w:proofErr w:type="spellStart"/>
      <w:r w:rsidR="00F9572C" w:rsidRPr="007F481A">
        <w:rPr>
          <w:i/>
          <w:color w:val="auto"/>
          <w:u w:val="single"/>
        </w:rPr>
        <w:t>Octamer</w:t>
      </w:r>
      <w:proofErr w:type="spellEnd"/>
      <w:r w:rsidR="00F9572C" w:rsidRPr="007F481A">
        <w:rPr>
          <w:i/>
          <w:color w:val="auto"/>
          <w:u w:val="single"/>
        </w:rPr>
        <w:t xml:space="preserve">-binding </w:t>
      </w:r>
      <w:proofErr w:type="spellStart"/>
      <w:r w:rsidR="00F9572C" w:rsidRPr="007F481A">
        <w:rPr>
          <w:i/>
          <w:color w:val="auto"/>
          <w:u w:val="single"/>
        </w:rPr>
        <w:t>proteins</w:t>
      </w:r>
      <w:r w:rsidR="00F9572C" w:rsidRPr="007F481A">
        <w:rPr>
          <w:i/>
          <w:color w:val="auto"/>
          <w:u w:val="single"/>
          <w:vertAlign w:val="subscript"/>
        </w:rPr>
        <w:t>protein</w:t>
      </w:r>
      <w:proofErr w:type="spellEnd"/>
      <w:r w:rsidR="00F9572C" w:rsidRPr="007F481A">
        <w:rPr>
          <w:i/>
          <w:color w:val="auto"/>
        </w:rPr>
        <w:t>”</w:t>
      </w:r>
      <w:r w:rsidR="00F9572C" w:rsidRPr="007F481A">
        <w:rPr>
          <w:color w:val="auto"/>
        </w:rPr>
        <w:t xml:space="preserve">, but “fibrinogen-binding </w:t>
      </w:r>
      <w:proofErr w:type="spellStart"/>
      <w:r w:rsidR="00F9572C" w:rsidRPr="007F481A">
        <w:rPr>
          <w:color w:val="auto"/>
        </w:rPr>
        <w:t>integrins</w:t>
      </w:r>
      <w:proofErr w:type="spellEnd"/>
      <w:r w:rsidR="00F9572C" w:rsidRPr="007F481A">
        <w:rPr>
          <w:color w:val="auto"/>
        </w:rPr>
        <w:t xml:space="preserve">” will be labeled as </w:t>
      </w:r>
      <w:r w:rsidR="00F9572C" w:rsidRPr="007F481A">
        <w:rPr>
          <w:i/>
          <w:color w:val="auto"/>
        </w:rPr>
        <w:t>“</w:t>
      </w:r>
      <w:proofErr w:type="spellStart"/>
      <w:r w:rsidR="00F9572C" w:rsidRPr="007F481A">
        <w:rPr>
          <w:i/>
          <w:color w:val="auto"/>
          <w:u w:val="single"/>
        </w:rPr>
        <w:t>fibrinogen</w:t>
      </w:r>
      <w:r w:rsidR="00F9572C" w:rsidRPr="007F481A">
        <w:rPr>
          <w:b/>
          <w:i/>
          <w:color w:val="auto"/>
          <w:u w:val="single"/>
          <w:vertAlign w:val="subscript"/>
        </w:rPr>
        <w:t>protein</w:t>
      </w:r>
      <w:proofErr w:type="spellEnd"/>
      <w:r w:rsidR="00F9572C" w:rsidRPr="007F481A">
        <w:rPr>
          <w:i/>
          <w:color w:val="auto"/>
        </w:rPr>
        <w:t xml:space="preserve">-binding </w:t>
      </w:r>
      <w:proofErr w:type="spellStart"/>
      <w:r w:rsidR="00F9572C" w:rsidRPr="007F481A">
        <w:rPr>
          <w:i/>
          <w:color w:val="auto"/>
          <w:u w:val="single"/>
        </w:rPr>
        <w:t>integrins</w:t>
      </w:r>
      <w:r w:rsidR="00F9572C" w:rsidRPr="007F481A">
        <w:rPr>
          <w:b/>
          <w:i/>
          <w:color w:val="auto"/>
          <w:u w:val="single"/>
          <w:vertAlign w:val="subscript"/>
        </w:rPr>
        <w:t>protein</w:t>
      </w:r>
      <w:proofErr w:type="spellEnd"/>
      <w:r w:rsidR="00F9572C" w:rsidRPr="007F481A">
        <w:rPr>
          <w:i/>
          <w:color w:val="auto"/>
        </w:rPr>
        <w:t>”</w:t>
      </w:r>
      <w:r w:rsidR="00F9572C" w:rsidRPr="007F481A">
        <w:rPr>
          <w:color w:val="auto"/>
        </w:rPr>
        <w:t>.</w:t>
      </w:r>
    </w:p>
    <w:p w14:paraId="0993BF90" w14:textId="77777777" w:rsidR="00F9572C" w:rsidRPr="007F481A" w:rsidRDefault="00F9572C" w:rsidP="00F9572C">
      <w:pPr>
        <w:ind w:left="480"/>
        <w:jc w:val="both"/>
        <w:rPr>
          <w:color w:val="auto"/>
        </w:rPr>
      </w:pPr>
    </w:p>
    <w:p w14:paraId="0428B595" w14:textId="77777777" w:rsidR="00F9572C" w:rsidRPr="007F481A" w:rsidRDefault="00F9572C" w:rsidP="00F9572C">
      <w:pPr>
        <w:ind w:left="480"/>
        <w:jc w:val="both"/>
        <w:rPr>
          <w:b/>
          <w:color w:val="auto"/>
        </w:rPr>
      </w:pPr>
      <w:r w:rsidRPr="007F481A">
        <w:rPr>
          <w:b/>
          <w:color w:val="auto"/>
        </w:rPr>
        <w:t>Rule 3: Preposition rule</w:t>
      </w:r>
    </w:p>
    <w:p w14:paraId="28CAC66F" w14:textId="5AAA2E56" w:rsidR="00F9572C" w:rsidRPr="007F481A" w:rsidRDefault="00F9572C" w:rsidP="00F9572C">
      <w:pPr>
        <w:ind w:left="480"/>
        <w:jc w:val="both"/>
        <w:rPr>
          <w:i/>
          <w:color w:val="auto"/>
        </w:rPr>
      </w:pPr>
      <w:r w:rsidRPr="007F481A">
        <w:rPr>
          <w:color w:val="auto"/>
        </w:rPr>
        <w:t xml:space="preserve">Preposition can be inside an NE only when the preposition is included in the NE’s full name. </w:t>
      </w:r>
      <w:r w:rsidR="00E2092C">
        <w:rPr>
          <w:color w:val="auto"/>
        </w:rPr>
        <w:t>For example</w:t>
      </w:r>
      <w:r w:rsidRPr="007F481A">
        <w:rPr>
          <w:color w:val="auto"/>
        </w:rPr>
        <w:t xml:space="preserve">, </w:t>
      </w:r>
      <w:r w:rsidRPr="007F481A">
        <w:rPr>
          <w:i/>
          <w:color w:val="auto"/>
        </w:rPr>
        <w:t>“Nuclear factor of activated T cells (NFAT)”</w:t>
      </w:r>
      <w:r w:rsidRPr="007F481A">
        <w:rPr>
          <w:color w:val="auto"/>
        </w:rPr>
        <w:t xml:space="preserve"> can be labeled as </w:t>
      </w:r>
      <w:r w:rsidRPr="007F481A">
        <w:rPr>
          <w:i/>
          <w:color w:val="auto"/>
        </w:rPr>
        <w:t>“</w:t>
      </w:r>
      <w:r w:rsidRPr="007F481A">
        <w:rPr>
          <w:i/>
          <w:color w:val="auto"/>
          <w:u w:val="single"/>
        </w:rPr>
        <w:t xml:space="preserve">Nuclear factor of activated T </w:t>
      </w:r>
      <w:proofErr w:type="spellStart"/>
      <w:r w:rsidRPr="007F481A">
        <w:rPr>
          <w:i/>
          <w:color w:val="auto"/>
          <w:u w:val="single"/>
        </w:rPr>
        <w:t>cells</w:t>
      </w:r>
      <w:r w:rsidRPr="007F481A">
        <w:rPr>
          <w:b/>
          <w:i/>
          <w:color w:val="auto"/>
          <w:u w:val="single"/>
          <w:vertAlign w:val="subscript"/>
        </w:rPr>
        <w:t>protein</w:t>
      </w:r>
      <w:proofErr w:type="spellEnd"/>
      <w:r w:rsidRPr="007F481A">
        <w:rPr>
          <w:i/>
          <w:color w:val="auto"/>
        </w:rPr>
        <w:t xml:space="preserve"> (</w:t>
      </w:r>
      <w:proofErr w:type="spellStart"/>
      <w:r w:rsidRPr="007F481A">
        <w:rPr>
          <w:i/>
          <w:color w:val="auto"/>
          <w:u w:val="single"/>
        </w:rPr>
        <w:t>NFAT</w:t>
      </w:r>
      <w:r w:rsidRPr="007F481A">
        <w:rPr>
          <w:b/>
          <w:i/>
          <w:color w:val="auto"/>
          <w:u w:val="single"/>
          <w:vertAlign w:val="subscript"/>
        </w:rPr>
        <w:t>protein</w:t>
      </w:r>
      <w:proofErr w:type="spellEnd"/>
      <w:r w:rsidRPr="007F481A">
        <w:rPr>
          <w:i/>
          <w:color w:val="auto"/>
        </w:rPr>
        <w:t>)”</w:t>
      </w:r>
    </w:p>
    <w:p w14:paraId="062B57BC" w14:textId="77777777" w:rsidR="00F9572C" w:rsidRPr="007F481A" w:rsidRDefault="00F9572C" w:rsidP="00F9572C">
      <w:pPr>
        <w:ind w:left="480"/>
        <w:jc w:val="both"/>
        <w:rPr>
          <w:i/>
          <w:color w:val="auto"/>
        </w:rPr>
      </w:pPr>
    </w:p>
    <w:p w14:paraId="47D17EBE" w14:textId="77777777" w:rsidR="00F9572C" w:rsidRPr="007F481A" w:rsidRDefault="00F9572C" w:rsidP="00F9572C">
      <w:pPr>
        <w:ind w:left="480"/>
        <w:jc w:val="both"/>
        <w:rPr>
          <w:b/>
          <w:color w:val="auto"/>
        </w:rPr>
      </w:pPr>
      <w:r w:rsidRPr="007F481A">
        <w:rPr>
          <w:b/>
          <w:color w:val="auto"/>
        </w:rPr>
        <w:t>Rule 4: Parenthesis rule</w:t>
      </w:r>
    </w:p>
    <w:p w14:paraId="4AF828BF" w14:textId="77777777" w:rsidR="00F9572C" w:rsidRPr="007F481A" w:rsidRDefault="00F9572C" w:rsidP="00F9572C">
      <w:pPr>
        <w:ind w:left="480"/>
        <w:jc w:val="both"/>
        <w:rPr>
          <w:color w:val="auto"/>
        </w:rPr>
      </w:pPr>
    </w:p>
    <w:p w14:paraId="2D400C8B" w14:textId="4DC087E9" w:rsidR="00F9572C" w:rsidRPr="007F481A" w:rsidRDefault="00F9572C" w:rsidP="00F9572C">
      <w:pPr>
        <w:ind w:left="480"/>
        <w:jc w:val="both"/>
        <w:rPr>
          <w:color w:val="auto"/>
        </w:rPr>
      </w:pPr>
      <w:r w:rsidRPr="007F481A">
        <w:rPr>
          <w:color w:val="auto"/>
        </w:rPr>
        <w:t>In general, when an abbreviation inside parenthesis follows its full name, it should be labeled separately. For instance,</w:t>
      </w:r>
      <w:r w:rsidRPr="007F481A">
        <w:rPr>
          <w:i/>
          <w:color w:val="auto"/>
        </w:rPr>
        <w:t xml:space="preserve"> “tumor necrosis factor (TNF)”</w:t>
      </w:r>
      <w:r w:rsidRPr="007F481A">
        <w:rPr>
          <w:color w:val="auto"/>
        </w:rPr>
        <w:t xml:space="preserve"> should be labeled as </w:t>
      </w:r>
      <w:r w:rsidRPr="007F481A">
        <w:rPr>
          <w:i/>
          <w:color w:val="auto"/>
        </w:rPr>
        <w:t>“</w:t>
      </w:r>
      <w:r w:rsidRPr="007F481A">
        <w:rPr>
          <w:i/>
          <w:color w:val="auto"/>
          <w:u w:val="single"/>
        </w:rPr>
        <w:t xml:space="preserve">tumor necrosis </w:t>
      </w:r>
      <w:proofErr w:type="spellStart"/>
      <w:r w:rsidRPr="007F481A">
        <w:rPr>
          <w:i/>
          <w:color w:val="auto"/>
          <w:u w:val="single"/>
        </w:rPr>
        <w:t>factor</w:t>
      </w:r>
      <w:r w:rsidRPr="007F481A">
        <w:rPr>
          <w:b/>
          <w:i/>
          <w:color w:val="auto"/>
          <w:u w:val="single"/>
          <w:vertAlign w:val="subscript"/>
        </w:rPr>
        <w:t>protein</w:t>
      </w:r>
      <w:proofErr w:type="spellEnd"/>
      <w:r w:rsidRPr="007F481A">
        <w:rPr>
          <w:i/>
          <w:color w:val="auto"/>
        </w:rPr>
        <w:t xml:space="preserve"> (</w:t>
      </w:r>
      <w:proofErr w:type="spellStart"/>
      <w:r w:rsidRPr="007F481A">
        <w:rPr>
          <w:i/>
          <w:color w:val="auto"/>
          <w:u w:val="single"/>
        </w:rPr>
        <w:t>TNF</w:t>
      </w:r>
      <w:r w:rsidRPr="007F481A">
        <w:rPr>
          <w:b/>
          <w:i/>
          <w:color w:val="auto"/>
          <w:u w:val="single"/>
          <w:vertAlign w:val="subscript"/>
        </w:rPr>
        <w:t>protein</w:t>
      </w:r>
      <w:proofErr w:type="spellEnd"/>
      <w:r w:rsidRPr="007F481A">
        <w:rPr>
          <w:i/>
          <w:color w:val="auto"/>
        </w:rPr>
        <w:t>)”</w:t>
      </w:r>
      <w:r w:rsidRPr="007F481A">
        <w:rPr>
          <w:color w:val="auto"/>
        </w:rPr>
        <w:t xml:space="preserve">. However, if a </w:t>
      </w:r>
      <w:proofErr w:type="spellStart"/>
      <w:r w:rsidRPr="007F481A">
        <w:rPr>
          <w:color w:val="auto"/>
        </w:rPr>
        <w:t>specifier</w:t>
      </w:r>
      <w:proofErr w:type="spellEnd"/>
      <w:r w:rsidRPr="007F481A">
        <w:rPr>
          <w:color w:val="auto"/>
        </w:rPr>
        <w:t xml:space="preserve"> number follows the parenthesis, then the whole chunk should be labeled as an NE. </w:t>
      </w:r>
      <w:r w:rsidR="00E2092C">
        <w:rPr>
          <w:color w:val="auto"/>
        </w:rPr>
        <w:t>For example</w:t>
      </w:r>
      <w:r w:rsidRPr="007F481A">
        <w:rPr>
          <w:color w:val="auto"/>
        </w:rPr>
        <w:t xml:space="preserve">, </w:t>
      </w:r>
      <w:r w:rsidRPr="007F481A">
        <w:rPr>
          <w:i/>
          <w:color w:val="auto"/>
        </w:rPr>
        <w:t>“interleukin (IL) -2”</w:t>
      </w:r>
      <w:r w:rsidRPr="007F481A">
        <w:rPr>
          <w:color w:val="auto"/>
        </w:rPr>
        <w:t xml:space="preserve"> should be labeled as </w:t>
      </w:r>
      <w:r w:rsidRPr="007F481A">
        <w:rPr>
          <w:i/>
          <w:color w:val="auto"/>
        </w:rPr>
        <w:t>“</w:t>
      </w:r>
      <w:r w:rsidRPr="007F481A">
        <w:rPr>
          <w:i/>
          <w:color w:val="auto"/>
          <w:u w:val="single"/>
        </w:rPr>
        <w:t>interleukin (IL) -2</w:t>
      </w:r>
      <w:r w:rsidRPr="007F481A">
        <w:rPr>
          <w:b/>
          <w:i/>
          <w:color w:val="auto"/>
          <w:u w:val="single"/>
          <w:vertAlign w:val="subscript"/>
        </w:rPr>
        <w:t>protein</w:t>
      </w:r>
      <w:r w:rsidRPr="007F481A">
        <w:rPr>
          <w:i/>
          <w:color w:val="auto"/>
        </w:rPr>
        <w:t>”</w:t>
      </w:r>
      <w:r w:rsidRPr="007F481A">
        <w:rPr>
          <w:color w:val="auto"/>
        </w:rPr>
        <w:t>.</w:t>
      </w:r>
    </w:p>
    <w:p w14:paraId="0D2DEC38" w14:textId="77777777" w:rsidR="00F9572C" w:rsidRPr="007F481A" w:rsidRDefault="00F9572C" w:rsidP="00F9572C">
      <w:pPr>
        <w:ind w:left="480"/>
        <w:jc w:val="both"/>
        <w:rPr>
          <w:color w:val="auto"/>
        </w:rPr>
      </w:pPr>
    </w:p>
    <w:p w14:paraId="35CBCAE7" w14:textId="77777777" w:rsidR="00F9572C" w:rsidRPr="007F481A" w:rsidRDefault="00F9572C" w:rsidP="00F9572C">
      <w:pPr>
        <w:ind w:left="480"/>
        <w:jc w:val="both"/>
        <w:rPr>
          <w:b/>
          <w:color w:val="auto"/>
        </w:rPr>
      </w:pPr>
      <w:r w:rsidRPr="007F481A">
        <w:rPr>
          <w:b/>
          <w:color w:val="auto"/>
        </w:rPr>
        <w:t>Rule 5: Conjunction rule</w:t>
      </w:r>
    </w:p>
    <w:p w14:paraId="6633E059" w14:textId="77777777" w:rsidR="00F9572C" w:rsidRPr="007F481A" w:rsidRDefault="00F9572C" w:rsidP="00F9572C">
      <w:pPr>
        <w:ind w:left="480"/>
        <w:jc w:val="both"/>
        <w:rPr>
          <w:color w:val="auto"/>
        </w:rPr>
      </w:pPr>
    </w:p>
    <w:p w14:paraId="0C719E50" w14:textId="2005FB75" w:rsidR="00F9572C" w:rsidRPr="007F481A" w:rsidRDefault="00F9572C" w:rsidP="00F9572C">
      <w:pPr>
        <w:ind w:left="480"/>
        <w:jc w:val="both"/>
        <w:rPr>
          <w:i/>
          <w:color w:val="auto"/>
        </w:rPr>
      </w:pPr>
      <w:r w:rsidRPr="007F481A">
        <w:rPr>
          <w:color w:val="auto"/>
        </w:rPr>
        <w:t xml:space="preserve">Conjunctions can appear inside an NE only when they are part of the NE’s full name. E.g., </w:t>
      </w:r>
      <w:r w:rsidRPr="007F481A">
        <w:rPr>
          <w:i/>
          <w:color w:val="auto"/>
        </w:rPr>
        <w:t>“signal transducers and activators of transcription 5 (</w:t>
      </w:r>
      <w:proofErr w:type="gramStart"/>
      <w:r w:rsidRPr="007F481A">
        <w:rPr>
          <w:i/>
          <w:color w:val="auto"/>
        </w:rPr>
        <w:t>STAT5 )</w:t>
      </w:r>
      <w:proofErr w:type="gramEnd"/>
      <w:r w:rsidRPr="007F481A">
        <w:rPr>
          <w:i/>
          <w:color w:val="auto"/>
        </w:rPr>
        <w:t>”</w:t>
      </w:r>
      <w:r w:rsidRPr="007F481A">
        <w:rPr>
          <w:color w:val="auto"/>
        </w:rPr>
        <w:t xml:space="preserve"> is labeled as </w:t>
      </w:r>
      <w:r w:rsidRPr="007F481A">
        <w:rPr>
          <w:i/>
          <w:color w:val="auto"/>
        </w:rPr>
        <w:t>“</w:t>
      </w:r>
      <w:r w:rsidRPr="007F481A">
        <w:rPr>
          <w:i/>
          <w:color w:val="auto"/>
          <w:u w:val="single"/>
        </w:rPr>
        <w:t>signal transducers and activators of transcription 5</w:t>
      </w:r>
      <w:r w:rsidRPr="007F481A">
        <w:rPr>
          <w:b/>
          <w:i/>
          <w:color w:val="auto"/>
          <w:u w:val="single"/>
          <w:vertAlign w:val="subscript"/>
        </w:rPr>
        <w:t>protein</w:t>
      </w:r>
      <w:r w:rsidRPr="007F481A">
        <w:rPr>
          <w:i/>
          <w:color w:val="auto"/>
        </w:rPr>
        <w:t xml:space="preserve"> ( </w:t>
      </w:r>
      <w:r w:rsidRPr="007F481A">
        <w:rPr>
          <w:i/>
          <w:color w:val="auto"/>
          <w:u w:val="single"/>
        </w:rPr>
        <w:t>STAT5</w:t>
      </w:r>
      <w:r w:rsidRPr="007F481A">
        <w:rPr>
          <w:b/>
          <w:i/>
          <w:color w:val="auto"/>
          <w:u w:val="single"/>
          <w:vertAlign w:val="subscript"/>
        </w:rPr>
        <w:t>protein</w:t>
      </w:r>
      <w:r w:rsidRPr="007F481A">
        <w:rPr>
          <w:i/>
          <w:color w:val="auto"/>
        </w:rPr>
        <w:t xml:space="preserve"> )”</w:t>
      </w:r>
      <w:r w:rsidR="00E2092C">
        <w:rPr>
          <w:i/>
          <w:color w:val="auto"/>
        </w:rPr>
        <w:t xml:space="preserve">. </w:t>
      </w:r>
      <w:r w:rsidRPr="007F481A">
        <w:rPr>
          <w:color w:val="auto"/>
        </w:rPr>
        <w:t xml:space="preserve">However, if a conjunction is used to connect more than one separate NE, like </w:t>
      </w:r>
      <w:r w:rsidRPr="007F481A">
        <w:rPr>
          <w:i/>
          <w:color w:val="auto"/>
        </w:rPr>
        <w:t>“IL-1, 2, and 15”</w:t>
      </w:r>
      <w:r w:rsidRPr="007F481A">
        <w:rPr>
          <w:color w:val="auto"/>
        </w:rPr>
        <w:t xml:space="preserve">, it is labeled as </w:t>
      </w:r>
      <w:r w:rsidRPr="007F481A">
        <w:rPr>
          <w:i/>
          <w:color w:val="auto"/>
        </w:rPr>
        <w:t>“IL-</w:t>
      </w:r>
      <w:proofErr w:type="gramStart"/>
      <w:r w:rsidRPr="007F481A">
        <w:rPr>
          <w:i/>
          <w:color w:val="auto"/>
        </w:rPr>
        <w:t>1</w:t>
      </w:r>
      <w:r w:rsidRPr="007F481A">
        <w:rPr>
          <w:i/>
          <w:color w:val="auto"/>
          <w:vertAlign w:val="subscript"/>
        </w:rPr>
        <w:t xml:space="preserve">protein </w:t>
      </w:r>
      <w:r w:rsidRPr="007F481A">
        <w:rPr>
          <w:i/>
          <w:color w:val="auto"/>
        </w:rPr>
        <w:t>,</w:t>
      </w:r>
      <w:proofErr w:type="gramEnd"/>
      <w:r w:rsidRPr="007F481A">
        <w:rPr>
          <w:i/>
          <w:color w:val="auto"/>
        </w:rPr>
        <w:t xml:space="preserve"> 2</w:t>
      </w:r>
      <w:r w:rsidRPr="007F481A">
        <w:rPr>
          <w:i/>
          <w:color w:val="auto"/>
          <w:vertAlign w:val="subscript"/>
        </w:rPr>
        <w:t xml:space="preserve">right_partial_protein </w:t>
      </w:r>
      <w:r w:rsidRPr="007F481A">
        <w:rPr>
          <w:i/>
          <w:color w:val="auto"/>
        </w:rPr>
        <w:t>, and 15</w:t>
      </w:r>
      <w:r w:rsidRPr="007F481A">
        <w:rPr>
          <w:i/>
          <w:color w:val="auto"/>
          <w:vertAlign w:val="subscript"/>
        </w:rPr>
        <w:t>right_partial_protein</w:t>
      </w:r>
      <w:r w:rsidRPr="007F481A">
        <w:rPr>
          <w:i/>
          <w:color w:val="auto"/>
        </w:rPr>
        <w:t>”</w:t>
      </w:r>
    </w:p>
    <w:p w14:paraId="7DD30C6B" w14:textId="77777777" w:rsidR="00F9572C" w:rsidRPr="007F481A" w:rsidRDefault="00F9572C" w:rsidP="00F9572C">
      <w:pPr>
        <w:ind w:left="480"/>
        <w:jc w:val="both"/>
        <w:rPr>
          <w:i/>
          <w:color w:val="auto"/>
        </w:rPr>
      </w:pPr>
    </w:p>
    <w:p w14:paraId="24906F44" w14:textId="77777777" w:rsidR="00F9572C" w:rsidRPr="007F481A" w:rsidRDefault="00F9572C" w:rsidP="00F9572C">
      <w:pPr>
        <w:ind w:left="480"/>
        <w:jc w:val="both"/>
        <w:rPr>
          <w:b/>
          <w:color w:val="auto"/>
        </w:rPr>
      </w:pPr>
      <w:bookmarkStart w:id="3" w:name="OLE_LINK4"/>
      <w:bookmarkStart w:id="4" w:name="OLE_LINK5"/>
      <w:r w:rsidRPr="007F481A">
        <w:rPr>
          <w:b/>
          <w:color w:val="auto"/>
        </w:rPr>
        <w:t>Rule 6: Semantic rule</w:t>
      </w:r>
    </w:p>
    <w:bookmarkEnd w:id="3"/>
    <w:bookmarkEnd w:id="4"/>
    <w:p w14:paraId="54094A0F" w14:textId="77777777" w:rsidR="00F9572C" w:rsidRPr="007F481A" w:rsidRDefault="00F9572C" w:rsidP="00F9572C">
      <w:pPr>
        <w:ind w:left="480"/>
        <w:jc w:val="both"/>
        <w:rPr>
          <w:color w:val="auto"/>
        </w:rPr>
      </w:pPr>
    </w:p>
    <w:p w14:paraId="036B10CC" w14:textId="208C765F" w:rsidR="00F9572C" w:rsidRPr="007F481A" w:rsidRDefault="00F9572C" w:rsidP="00F9572C">
      <w:pPr>
        <w:ind w:left="480"/>
        <w:jc w:val="both"/>
        <w:rPr>
          <w:i/>
          <w:color w:val="auto"/>
        </w:rPr>
      </w:pPr>
      <w:r w:rsidRPr="007F481A">
        <w:rPr>
          <w:color w:val="auto"/>
        </w:rPr>
        <w:lastRenderedPageBreak/>
        <w:t>If the words pr</w:t>
      </w:r>
      <w:r w:rsidR="000E6045">
        <w:rPr>
          <w:color w:val="auto"/>
        </w:rPr>
        <w:t>ec</w:t>
      </w:r>
      <w:r w:rsidRPr="007F481A">
        <w:rPr>
          <w:color w:val="auto"/>
        </w:rPr>
        <w:t xml:space="preserve">eding or following an NE provide additional semantic information that may help to disambiguate the identifier or type of the NE, they will be included. E.g., </w:t>
      </w:r>
      <w:r w:rsidRPr="007F481A">
        <w:rPr>
          <w:i/>
          <w:color w:val="auto"/>
        </w:rPr>
        <w:t>“human gene PAX-5”</w:t>
      </w:r>
      <w:r w:rsidRPr="007F481A">
        <w:rPr>
          <w:color w:val="auto"/>
        </w:rPr>
        <w:t xml:space="preserve"> is labeled as </w:t>
      </w:r>
      <w:r w:rsidRPr="007F481A">
        <w:rPr>
          <w:i/>
          <w:color w:val="auto"/>
        </w:rPr>
        <w:t>“</w:t>
      </w:r>
      <w:r w:rsidRPr="007F481A">
        <w:rPr>
          <w:i/>
          <w:color w:val="auto"/>
          <w:u w:val="single"/>
        </w:rPr>
        <w:t>human gene PAX-5</w:t>
      </w:r>
      <w:r w:rsidRPr="007F481A">
        <w:rPr>
          <w:b/>
          <w:i/>
          <w:color w:val="auto"/>
          <w:u w:val="single"/>
          <w:vertAlign w:val="subscript"/>
        </w:rPr>
        <w:t>DNA</w:t>
      </w:r>
      <w:r w:rsidRPr="007F481A">
        <w:rPr>
          <w:i/>
          <w:color w:val="auto"/>
        </w:rPr>
        <w:t>”.</w:t>
      </w:r>
    </w:p>
    <w:p w14:paraId="3D701270" w14:textId="77777777" w:rsidR="00F9572C" w:rsidRPr="007F481A" w:rsidRDefault="00F9572C" w:rsidP="00F9572C">
      <w:pPr>
        <w:ind w:left="480"/>
        <w:jc w:val="both"/>
        <w:rPr>
          <w:i/>
          <w:color w:val="auto"/>
        </w:rPr>
      </w:pPr>
    </w:p>
    <w:p w14:paraId="0F803299" w14:textId="77777777" w:rsidR="00F9572C" w:rsidRPr="007F481A" w:rsidRDefault="00F9572C" w:rsidP="00F9572C">
      <w:pPr>
        <w:ind w:left="480"/>
        <w:jc w:val="both"/>
        <w:rPr>
          <w:b/>
          <w:color w:val="auto"/>
        </w:rPr>
      </w:pPr>
      <w:bookmarkStart w:id="5" w:name="OLE_LINK7"/>
      <w:r w:rsidRPr="007F481A">
        <w:rPr>
          <w:b/>
          <w:color w:val="auto"/>
        </w:rPr>
        <w:t>Rule 7: Protein rule</w:t>
      </w:r>
    </w:p>
    <w:bookmarkEnd w:id="5"/>
    <w:p w14:paraId="4421DE3D" w14:textId="77777777" w:rsidR="00F9572C" w:rsidRPr="007F481A" w:rsidRDefault="00F9572C" w:rsidP="00F9572C">
      <w:pPr>
        <w:ind w:left="480"/>
        <w:jc w:val="both"/>
        <w:rPr>
          <w:color w:val="auto"/>
        </w:rPr>
      </w:pPr>
    </w:p>
    <w:p w14:paraId="5B15B530" w14:textId="1C47154F" w:rsidR="005A258A" w:rsidRPr="007F481A" w:rsidRDefault="005A258A" w:rsidP="00F9572C">
      <w:pPr>
        <w:ind w:left="480"/>
        <w:jc w:val="both"/>
        <w:rPr>
          <w:color w:val="auto"/>
        </w:rPr>
      </w:pPr>
      <w:r>
        <w:rPr>
          <w:rFonts w:hint="eastAsia"/>
        </w:rPr>
        <w:t>Protein suffixes that describe part</w:t>
      </w:r>
      <w:r>
        <w:t xml:space="preserve"> of a</w:t>
      </w:r>
      <w:r>
        <w:rPr>
          <w:rFonts w:hint="eastAsia"/>
        </w:rPr>
        <w:t xml:space="preserve"> protein, like </w:t>
      </w:r>
      <w:r>
        <w:rPr>
          <w:rFonts w:hint="eastAsia"/>
        </w:rPr>
        <w:t>“</w:t>
      </w:r>
      <w:r>
        <w:rPr>
          <w:rFonts w:hint="eastAsia"/>
        </w:rPr>
        <w:t>motif</w:t>
      </w:r>
      <w:r>
        <w:rPr>
          <w:rFonts w:hint="eastAsia"/>
        </w:rPr>
        <w:t>”</w:t>
      </w:r>
      <w:r>
        <w:rPr>
          <w:rFonts w:hint="eastAsia"/>
        </w:rPr>
        <w:t xml:space="preserve"> and </w:t>
      </w:r>
      <w:r>
        <w:rPr>
          <w:rFonts w:hint="eastAsia"/>
        </w:rPr>
        <w:t>“</w:t>
      </w:r>
      <w:r>
        <w:rPr>
          <w:rFonts w:hint="eastAsia"/>
        </w:rPr>
        <w:t>domain</w:t>
      </w:r>
      <w:r>
        <w:rPr>
          <w:rFonts w:hint="eastAsia"/>
        </w:rPr>
        <w:t>”</w:t>
      </w:r>
      <w:r>
        <w:rPr>
          <w:rFonts w:hint="eastAsia"/>
        </w:rPr>
        <w:t>, rather than a full protein are not included in the protein</w:t>
      </w:r>
      <w:r w:rsidR="000E6045">
        <w:t xml:space="preserve"> NE</w:t>
      </w:r>
      <w:r>
        <w:rPr>
          <w:rFonts w:hint="eastAsia"/>
        </w:rPr>
        <w:t xml:space="preserve">. In addition, the potential </w:t>
      </w:r>
      <w:proofErr w:type="gramStart"/>
      <w:r>
        <w:rPr>
          <w:rFonts w:hint="eastAsia"/>
        </w:rPr>
        <w:t>protein NEs usually obtain</w:t>
      </w:r>
      <w:proofErr w:type="gramEnd"/>
      <w:r>
        <w:rPr>
          <w:rFonts w:hint="eastAsia"/>
        </w:rPr>
        <w:t xml:space="preserve"> some similar suffixes to </w:t>
      </w:r>
      <w:r>
        <w:t>re</w:t>
      </w:r>
      <w:r>
        <w:rPr>
          <w:rFonts w:hint="eastAsia"/>
        </w:rPr>
        <w:t xml:space="preserve">present properties of protein, e.g. protein, receptor, antigen, antibody, enzyme, (transcription) factor and kinase. Thus, the NEs ending with above keywords should be labeled as protein </w:t>
      </w:r>
      <w:r w:rsidR="000E6045">
        <w:t>NE</w:t>
      </w:r>
      <w:r>
        <w:rPr>
          <w:rFonts w:hint="eastAsia"/>
        </w:rPr>
        <w:t xml:space="preserve">s. Moreover, the molecular mass (e.g., </w:t>
      </w:r>
      <w:r>
        <w:rPr>
          <w:rFonts w:hint="eastAsia"/>
        </w:rPr>
        <w:t>“</w:t>
      </w:r>
      <w:r>
        <w:rPr>
          <w:rFonts w:hint="eastAsia"/>
        </w:rPr>
        <w:t xml:space="preserve">55 </w:t>
      </w:r>
      <w:proofErr w:type="spellStart"/>
      <w:r>
        <w:rPr>
          <w:rFonts w:hint="eastAsia"/>
        </w:rPr>
        <w:t>kd</w:t>
      </w:r>
      <w:proofErr w:type="spellEnd"/>
      <w:r>
        <w:rPr>
          <w:rFonts w:hint="eastAsia"/>
        </w:rPr>
        <w:t>”</w:t>
      </w:r>
      <w:r>
        <w:rPr>
          <w:rFonts w:hint="eastAsia"/>
        </w:rPr>
        <w:t xml:space="preserve"> in </w:t>
      </w:r>
      <w:r>
        <w:rPr>
          <w:rFonts w:hint="eastAsia"/>
        </w:rPr>
        <w:t>“</w:t>
      </w:r>
      <w:r>
        <w:rPr>
          <w:rFonts w:hint="eastAsia"/>
        </w:rPr>
        <w:t xml:space="preserve">55 </w:t>
      </w:r>
      <w:proofErr w:type="spellStart"/>
      <w:r>
        <w:rPr>
          <w:rFonts w:hint="eastAsia"/>
        </w:rPr>
        <w:t>kd</w:t>
      </w:r>
      <w:proofErr w:type="spellEnd"/>
      <w:r>
        <w:rPr>
          <w:rFonts w:hint="eastAsia"/>
        </w:rPr>
        <w:t xml:space="preserve"> TNFR</w:t>
      </w:r>
      <w:r>
        <w:rPr>
          <w:rFonts w:hint="eastAsia"/>
        </w:rPr>
        <w:t>”</w:t>
      </w:r>
      <w:r>
        <w:rPr>
          <w:rFonts w:hint="eastAsia"/>
        </w:rPr>
        <w:t>) is a clue to classify the target NE into protein type rather than DNA or RNA.</w:t>
      </w:r>
    </w:p>
    <w:p w14:paraId="58E1F2A9" w14:textId="77777777" w:rsidR="00F9572C" w:rsidRPr="007F481A" w:rsidRDefault="00F9572C" w:rsidP="00F9572C">
      <w:pPr>
        <w:ind w:left="480"/>
        <w:jc w:val="both"/>
        <w:rPr>
          <w:color w:val="auto"/>
        </w:rPr>
      </w:pPr>
    </w:p>
    <w:p w14:paraId="6F271ECC" w14:textId="77777777" w:rsidR="00F9572C" w:rsidRPr="007F481A" w:rsidRDefault="00F9572C" w:rsidP="00F9572C">
      <w:pPr>
        <w:ind w:left="480"/>
        <w:jc w:val="both"/>
        <w:rPr>
          <w:b/>
          <w:color w:val="auto"/>
        </w:rPr>
      </w:pPr>
      <w:r w:rsidRPr="007F481A">
        <w:rPr>
          <w:b/>
          <w:color w:val="auto"/>
        </w:rPr>
        <w:t>Rule 8: DNA rule</w:t>
      </w:r>
    </w:p>
    <w:p w14:paraId="4AD57D68" w14:textId="77777777" w:rsidR="00F9572C" w:rsidRPr="007F481A" w:rsidRDefault="00F9572C" w:rsidP="00F9572C">
      <w:pPr>
        <w:ind w:left="480"/>
        <w:jc w:val="both"/>
        <w:rPr>
          <w:color w:val="auto"/>
        </w:rPr>
      </w:pPr>
    </w:p>
    <w:p w14:paraId="7B38DE03" w14:textId="384C45DF" w:rsidR="00F9572C" w:rsidRPr="007F481A" w:rsidRDefault="00F9572C" w:rsidP="00F9572C">
      <w:pPr>
        <w:ind w:left="480"/>
        <w:jc w:val="both"/>
        <w:rPr>
          <w:color w:val="auto"/>
        </w:rPr>
      </w:pPr>
      <w:r w:rsidRPr="007F481A">
        <w:rPr>
          <w:color w:val="auto"/>
        </w:rPr>
        <w:t xml:space="preserve">DNA suffixes that describe the function of DNA sequence, like </w:t>
      </w:r>
      <w:r w:rsidRPr="007F481A">
        <w:rPr>
          <w:i/>
          <w:color w:val="auto"/>
        </w:rPr>
        <w:t>“enhancer”</w:t>
      </w:r>
      <w:r w:rsidRPr="007F481A">
        <w:rPr>
          <w:color w:val="auto"/>
        </w:rPr>
        <w:t xml:space="preserve"> and </w:t>
      </w:r>
      <w:r w:rsidRPr="007F481A">
        <w:rPr>
          <w:i/>
          <w:color w:val="auto"/>
        </w:rPr>
        <w:t>“promoter”</w:t>
      </w:r>
      <w:r w:rsidRPr="007F481A">
        <w:rPr>
          <w:color w:val="auto"/>
        </w:rPr>
        <w:t xml:space="preserve">, are </w:t>
      </w:r>
      <w:r w:rsidR="00196D9E">
        <w:rPr>
          <w:color w:val="auto"/>
        </w:rPr>
        <w:t>included as</w:t>
      </w:r>
      <w:r w:rsidRPr="007F481A">
        <w:rPr>
          <w:color w:val="auto"/>
        </w:rPr>
        <w:t xml:space="preserve"> part of DNA. More specifically, when there are unique gene names conjugated with the following </w:t>
      </w:r>
      <w:proofErr w:type="spellStart"/>
      <w:r w:rsidRPr="007F481A">
        <w:rPr>
          <w:color w:val="auto"/>
        </w:rPr>
        <w:t>cis</w:t>
      </w:r>
      <w:proofErr w:type="spellEnd"/>
      <w:r w:rsidRPr="007F481A">
        <w:rPr>
          <w:color w:val="auto"/>
        </w:rPr>
        <w:t>-element evidences, they tend to be labeled as DNA types: (</w:t>
      </w:r>
      <w:proofErr w:type="spellStart"/>
      <w:r w:rsidRPr="007F481A">
        <w:rPr>
          <w:color w:val="auto"/>
        </w:rPr>
        <w:t>onco</w:t>
      </w:r>
      <w:proofErr w:type="spellEnd"/>
      <w:proofErr w:type="gramStart"/>
      <w:r w:rsidRPr="007F481A">
        <w:rPr>
          <w:color w:val="auto"/>
        </w:rPr>
        <w:t>)gene</w:t>
      </w:r>
      <w:proofErr w:type="gramEnd"/>
      <w:r w:rsidRPr="007F481A">
        <w:rPr>
          <w:color w:val="auto"/>
        </w:rPr>
        <w:t xml:space="preserve">, genome, DNA, locus, allele, promoter, enhancer, LTR, response element, probe and plasmid, e.g. </w:t>
      </w:r>
      <w:r w:rsidRPr="007F481A">
        <w:rPr>
          <w:i/>
          <w:color w:val="auto"/>
        </w:rPr>
        <w:t>“AP-1 enhancer element”</w:t>
      </w:r>
      <w:r w:rsidRPr="007F481A">
        <w:rPr>
          <w:color w:val="auto"/>
        </w:rPr>
        <w:t xml:space="preserve">, </w:t>
      </w:r>
      <w:r w:rsidRPr="007F481A">
        <w:rPr>
          <w:i/>
          <w:color w:val="auto"/>
        </w:rPr>
        <w:t>“bcl-2 oncogene”</w:t>
      </w:r>
      <w:r w:rsidRPr="007F481A">
        <w:rPr>
          <w:color w:val="auto"/>
        </w:rPr>
        <w:t xml:space="preserve">, </w:t>
      </w:r>
      <w:r w:rsidRPr="007F481A">
        <w:rPr>
          <w:i/>
          <w:color w:val="auto"/>
        </w:rPr>
        <w:t>“gene UL49”</w:t>
      </w:r>
      <w:r w:rsidRPr="007F481A">
        <w:rPr>
          <w:color w:val="auto"/>
        </w:rPr>
        <w:t xml:space="preserve"> and </w:t>
      </w:r>
      <w:r w:rsidRPr="007F481A">
        <w:rPr>
          <w:i/>
          <w:color w:val="auto"/>
        </w:rPr>
        <w:t>“</w:t>
      </w:r>
      <w:proofErr w:type="spellStart"/>
      <w:r w:rsidRPr="007F481A">
        <w:rPr>
          <w:i/>
          <w:color w:val="auto"/>
        </w:rPr>
        <w:t>FasL</w:t>
      </w:r>
      <w:proofErr w:type="spellEnd"/>
      <w:r w:rsidRPr="007F481A">
        <w:rPr>
          <w:i/>
          <w:color w:val="auto"/>
        </w:rPr>
        <w:t xml:space="preserve"> promoter”</w:t>
      </w:r>
      <w:r w:rsidRPr="007F481A">
        <w:rPr>
          <w:color w:val="auto"/>
        </w:rPr>
        <w:t xml:space="preserve">. Moreover, the NEs with clear chromosome information are also included in </w:t>
      </w:r>
      <w:r w:rsidR="00945F73" w:rsidRPr="007F481A">
        <w:rPr>
          <w:color w:val="auto"/>
        </w:rPr>
        <w:t>annotation, e.g.</w:t>
      </w:r>
      <w:r w:rsidR="00945F73">
        <w:rPr>
          <w:color w:val="auto"/>
        </w:rPr>
        <w:t>,</w:t>
      </w:r>
      <w:r w:rsidRPr="007F481A">
        <w:rPr>
          <w:color w:val="auto"/>
        </w:rPr>
        <w:t xml:space="preserve"> human chromosome 11p15, 1p36 and 14q11. In some cases, there is not enough evidence to recognize NE type by its own so the surrounding contexts are taken into account for this situation, e.g. </w:t>
      </w:r>
      <w:r w:rsidRPr="007F481A">
        <w:rPr>
          <w:i/>
          <w:color w:val="auto"/>
        </w:rPr>
        <w:t>“Pax-5 encodes the transcription factor BSAP which plays an essential role …”</w:t>
      </w:r>
      <w:r w:rsidRPr="007F481A">
        <w:rPr>
          <w:color w:val="auto"/>
        </w:rPr>
        <w:t xml:space="preserve"> In the above sentence, </w:t>
      </w:r>
      <w:r w:rsidRPr="007F481A">
        <w:rPr>
          <w:i/>
          <w:color w:val="auto"/>
        </w:rPr>
        <w:t>“Pax-5”</w:t>
      </w:r>
      <w:r w:rsidRPr="007F481A">
        <w:rPr>
          <w:color w:val="auto"/>
        </w:rPr>
        <w:t xml:space="preserve"> is only a gene symbol name without any clue to judge its NE type. But the verb </w:t>
      </w:r>
      <w:r w:rsidRPr="007F481A">
        <w:rPr>
          <w:i/>
          <w:color w:val="auto"/>
        </w:rPr>
        <w:t>“encodes”</w:t>
      </w:r>
      <w:r w:rsidRPr="007F481A">
        <w:rPr>
          <w:color w:val="auto"/>
        </w:rPr>
        <w:t xml:space="preserve"> provides the </w:t>
      </w:r>
      <w:r w:rsidR="00196D9E">
        <w:rPr>
          <w:color w:val="auto"/>
        </w:rPr>
        <w:t>evidence</w:t>
      </w:r>
      <w:r w:rsidR="00196D9E" w:rsidRPr="007F481A">
        <w:rPr>
          <w:color w:val="auto"/>
        </w:rPr>
        <w:t xml:space="preserve"> </w:t>
      </w:r>
      <w:r w:rsidRPr="007F481A">
        <w:rPr>
          <w:color w:val="auto"/>
        </w:rPr>
        <w:t xml:space="preserve">to classify </w:t>
      </w:r>
      <w:r w:rsidRPr="007F481A">
        <w:rPr>
          <w:i/>
          <w:color w:val="auto"/>
        </w:rPr>
        <w:t>“Pax-5”</w:t>
      </w:r>
      <w:r w:rsidRPr="007F481A">
        <w:rPr>
          <w:color w:val="auto"/>
        </w:rPr>
        <w:t xml:space="preserve"> since DNA is the only one among the five NE types to encode the permanent sequence of a functional protein. Lastly, there is a special expression profile in bio</w:t>
      </w:r>
      <w:r w:rsidR="00016819">
        <w:rPr>
          <w:color w:val="auto"/>
        </w:rPr>
        <w:t xml:space="preserve">logical </w:t>
      </w:r>
      <w:r w:rsidRPr="007F481A">
        <w:rPr>
          <w:color w:val="auto"/>
        </w:rPr>
        <w:t xml:space="preserve">literature to describe the cloned DNA plasmid. In </w:t>
      </w:r>
      <w:r w:rsidR="00945F73" w:rsidRPr="007F481A">
        <w:rPr>
          <w:color w:val="auto"/>
        </w:rPr>
        <w:t>general, the</w:t>
      </w:r>
      <w:r w:rsidRPr="007F481A">
        <w:rPr>
          <w:color w:val="auto"/>
        </w:rPr>
        <w:t xml:space="preserve"> target NE is tight-conjugated with a lowercase </w:t>
      </w:r>
      <w:r w:rsidRPr="007F481A">
        <w:rPr>
          <w:i/>
          <w:color w:val="auto"/>
        </w:rPr>
        <w:t>“p”</w:t>
      </w:r>
      <w:r w:rsidRPr="007F481A">
        <w:rPr>
          <w:color w:val="auto"/>
        </w:rPr>
        <w:t xml:space="preserve"> in the head of NE, e.g. </w:t>
      </w:r>
      <w:r w:rsidRPr="007F481A">
        <w:rPr>
          <w:i/>
          <w:color w:val="auto"/>
        </w:rPr>
        <w:t>“pCD41”</w:t>
      </w:r>
      <w:r w:rsidRPr="007F481A">
        <w:rPr>
          <w:color w:val="auto"/>
        </w:rPr>
        <w:t xml:space="preserve">, </w:t>
      </w:r>
      <w:r w:rsidRPr="007F481A">
        <w:rPr>
          <w:i/>
          <w:color w:val="auto"/>
        </w:rPr>
        <w:t xml:space="preserve">“pIL-5 </w:t>
      </w:r>
      <w:proofErr w:type="spellStart"/>
      <w:r w:rsidRPr="007F481A">
        <w:rPr>
          <w:i/>
          <w:color w:val="auto"/>
        </w:rPr>
        <w:t>cDNA</w:t>
      </w:r>
      <w:proofErr w:type="spellEnd"/>
      <w:r w:rsidRPr="007F481A">
        <w:rPr>
          <w:i/>
          <w:color w:val="auto"/>
        </w:rPr>
        <w:t>”</w:t>
      </w:r>
      <w:r w:rsidRPr="007F481A">
        <w:rPr>
          <w:color w:val="auto"/>
        </w:rPr>
        <w:t>.</w:t>
      </w:r>
    </w:p>
    <w:p w14:paraId="4FAA141F" w14:textId="77777777" w:rsidR="00F9572C" w:rsidRPr="007F481A" w:rsidRDefault="00F9572C" w:rsidP="00F9572C">
      <w:pPr>
        <w:ind w:left="480"/>
        <w:jc w:val="both"/>
        <w:rPr>
          <w:color w:val="auto"/>
        </w:rPr>
      </w:pPr>
    </w:p>
    <w:p w14:paraId="4AD2CCFE" w14:textId="77777777" w:rsidR="00F9572C" w:rsidRPr="007F481A" w:rsidRDefault="00F9572C" w:rsidP="00F9572C">
      <w:pPr>
        <w:ind w:left="480"/>
        <w:jc w:val="both"/>
        <w:rPr>
          <w:b/>
          <w:color w:val="auto"/>
        </w:rPr>
      </w:pPr>
      <w:r w:rsidRPr="007F481A">
        <w:rPr>
          <w:b/>
          <w:color w:val="auto"/>
        </w:rPr>
        <w:t>Rule 9: Cell rule</w:t>
      </w:r>
    </w:p>
    <w:p w14:paraId="140EFD0D" w14:textId="77777777" w:rsidR="00F9572C" w:rsidRPr="007F481A" w:rsidRDefault="00F9572C" w:rsidP="00F9572C">
      <w:pPr>
        <w:ind w:left="480"/>
        <w:jc w:val="both"/>
        <w:rPr>
          <w:color w:val="auto"/>
        </w:rPr>
      </w:pPr>
    </w:p>
    <w:p w14:paraId="1E0E87DC" w14:textId="50C3FBDD" w:rsidR="00F9572C" w:rsidRPr="007F481A" w:rsidRDefault="00F9572C" w:rsidP="00F9572C">
      <w:pPr>
        <w:ind w:left="480"/>
        <w:jc w:val="both"/>
        <w:rPr>
          <w:color w:val="auto"/>
        </w:rPr>
      </w:pPr>
      <w:r w:rsidRPr="007F481A">
        <w:rPr>
          <w:color w:val="auto"/>
        </w:rPr>
        <w:t xml:space="preserve">The target NEs which match the following features are referred </w:t>
      </w:r>
      <w:r w:rsidR="00CA38C7">
        <w:rPr>
          <w:color w:val="auto"/>
        </w:rPr>
        <w:t xml:space="preserve">to </w:t>
      </w:r>
      <w:r w:rsidRPr="007F481A">
        <w:rPr>
          <w:color w:val="auto"/>
        </w:rPr>
        <w:t xml:space="preserve">as </w:t>
      </w:r>
      <w:proofErr w:type="spellStart"/>
      <w:r w:rsidRPr="007F481A">
        <w:rPr>
          <w:color w:val="auto"/>
        </w:rPr>
        <w:t>cell_line</w:t>
      </w:r>
      <w:proofErr w:type="spellEnd"/>
      <w:r w:rsidRPr="007F481A">
        <w:rPr>
          <w:color w:val="auto"/>
        </w:rPr>
        <w:t xml:space="preserve">: </w:t>
      </w:r>
      <w:r w:rsidR="00CA38C7">
        <w:rPr>
          <w:color w:val="auto"/>
        </w:rPr>
        <w:t>1.</w:t>
      </w:r>
      <w:r w:rsidRPr="007F481A">
        <w:rPr>
          <w:color w:val="auto"/>
        </w:rPr>
        <w:t xml:space="preserve"> NEs described with obvious cell line symbol, e.g. </w:t>
      </w:r>
      <w:r w:rsidRPr="007F481A">
        <w:rPr>
          <w:i/>
          <w:color w:val="auto"/>
        </w:rPr>
        <w:t>“</w:t>
      </w:r>
      <w:proofErr w:type="spellStart"/>
      <w:r w:rsidRPr="007F481A">
        <w:rPr>
          <w:i/>
          <w:color w:val="auto"/>
        </w:rPr>
        <w:t>Hela</w:t>
      </w:r>
      <w:proofErr w:type="spellEnd"/>
      <w:r w:rsidRPr="007F481A">
        <w:rPr>
          <w:i/>
          <w:color w:val="auto"/>
        </w:rPr>
        <w:t>”</w:t>
      </w:r>
      <w:r w:rsidRPr="007F481A">
        <w:rPr>
          <w:color w:val="auto"/>
        </w:rPr>
        <w:t xml:space="preserve">, </w:t>
      </w:r>
      <w:r w:rsidRPr="007F481A">
        <w:rPr>
          <w:i/>
          <w:color w:val="auto"/>
        </w:rPr>
        <w:t>“Hep2”</w:t>
      </w:r>
      <w:r w:rsidRPr="007F481A">
        <w:rPr>
          <w:color w:val="auto"/>
        </w:rPr>
        <w:t xml:space="preserve"> and </w:t>
      </w:r>
      <w:r w:rsidRPr="007F481A">
        <w:rPr>
          <w:i/>
          <w:color w:val="auto"/>
        </w:rPr>
        <w:t>“A549”</w:t>
      </w:r>
      <w:r w:rsidR="00CA38C7">
        <w:rPr>
          <w:color w:val="auto"/>
        </w:rPr>
        <w:t xml:space="preserve">; 2. </w:t>
      </w:r>
      <w:r w:rsidRPr="007F481A">
        <w:rPr>
          <w:color w:val="auto"/>
        </w:rPr>
        <w:t xml:space="preserve">general cell name, cellular morphological or cellular functional description </w:t>
      </w:r>
      <w:r w:rsidR="00CA38C7">
        <w:rPr>
          <w:color w:val="auto"/>
        </w:rPr>
        <w:t>ending</w:t>
      </w:r>
      <w:r w:rsidRPr="007F481A">
        <w:rPr>
          <w:color w:val="auto"/>
        </w:rPr>
        <w:t xml:space="preserve"> with </w:t>
      </w:r>
      <w:r w:rsidRPr="007F481A">
        <w:rPr>
          <w:i/>
          <w:color w:val="auto"/>
        </w:rPr>
        <w:t>“cell line”</w:t>
      </w:r>
      <w:r w:rsidRPr="007F481A">
        <w:rPr>
          <w:color w:val="auto"/>
        </w:rPr>
        <w:t xml:space="preserve"> or </w:t>
      </w:r>
      <w:r w:rsidRPr="007F481A">
        <w:rPr>
          <w:i/>
          <w:color w:val="auto"/>
        </w:rPr>
        <w:t>“clone”</w:t>
      </w:r>
      <w:r w:rsidRPr="007F481A">
        <w:rPr>
          <w:color w:val="auto"/>
        </w:rPr>
        <w:t xml:space="preserve">, </w:t>
      </w:r>
      <w:r w:rsidR="00CA38C7">
        <w:rPr>
          <w:color w:val="auto"/>
        </w:rPr>
        <w:t>e.g.,</w:t>
      </w:r>
      <w:r w:rsidRPr="007F481A">
        <w:rPr>
          <w:color w:val="auto"/>
        </w:rPr>
        <w:t xml:space="preserve"> </w:t>
      </w:r>
      <w:r w:rsidRPr="007F481A">
        <w:rPr>
          <w:i/>
          <w:color w:val="auto"/>
        </w:rPr>
        <w:t>“T cell line”</w:t>
      </w:r>
      <w:r w:rsidRPr="007F481A">
        <w:rPr>
          <w:color w:val="auto"/>
        </w:rPr>
        <w:t xml:space="preserve">, </w:t>
      </w:r>
      <w:r w:rsidRPr="007F481A">
        <w:rPr>
          <w:i/>
          <w:color w:val="auto"/>
        </w:rPr>
        <w:t>“granulocytic clones”</w:t>
      </w:r>
      <w:r w:rsidRPr="007F481A">
        <w:rPr>
          <w:color w:val="auto"/>
        </w:rPr>
        <w:t xml:space="preserve"> and </w:t>
      </w:r>
      <w:r w:rsidRPr="007F481A">
        <w:rPr>
          <w:i/>
          <w:color w:val="auto"/>
        </w:rPr>
        <w:t>“</w:t>
      </w:r>
      <w:proofErr w:type="spellStart"/>
      <w:r w:rsidRPr="007F481A">
        <w:rPr>
          <w:i/>
          <w:color w:val="auto"/>
        </w:rPr>
        <w:t>monocytic</w:t>
      </w:r>
      <w:proofErr w:type="spellEnd"/>
      <w:r w:rsidRPr="007F481A">
        <w:rPr>
          <w:i/>
          <w:color w:val="auto"/>
        </w:rPr>
        <w:t xml:space="preserve"> cell line”</w:t>
      </w:r>
      <w:r w:rsidRPr="007F481A">
        <w:rPr>
          <w:color w:val="auto"/>
        </w:rPr>
        <w:t>.</w:t>
      </w:r>
    </w:p>
    <w:p w14:paraId="2E7EB5E0" w14:textId="77777777" w:rsidR="00F9572C" w:rsidRPr="007F481A" w:rsidRDefault="00F9572C" w:rsidP="00F9572C">
      <w:pPr>
        <w:ind w:left="480"/>
        <w:jc w:val="both"/>
        <w:rPr>
          <w:color w:val="auto"/>
        </w:rPr>
      </w:pPr>
    </w:p>
    <w:p w14:paraId="4E1419A2" w14:textId="2F13EDA8" w:rsidR="00F9572C" w:rsidRPr="007F481A" w:rsidRDefault="00CA38C7" w:rsidP="00F9572C">
      <w:pPr>
        <w:ind w:left="480"/>
        <w:jc w:val="both"/>
        <w:rPr>
          <w:color w:val="auto"/>
        </w:rPr>
      </w:pPr>
      <w:r>
        <w:rPr>
          <w:color w:val="auto"/>
        </w:rPr>
        <w:t>T</w:t>
      </w:r>
      <w:r w:rsidR="00F9572C" w:rsidRPr="007F481A">
        <w:rPr>
          <w:color w:val="auto"/>
        </w:rPr>
        <w:t xml:space="preserve">he NEs below are annotated as </w:t>
      </w:r>
      <w:proofErr w:type="spellStart"/>
      <w:r w:rsidR="00F9572C" w:rsidRPr="007F481A">
        <w:rPr>
          <w:color w:val="auto"/>
        </w:rPr>
        <w:t>cell_type</w:t>
      </w:r>
      <w:proofErr w:type="spellEnd"/>
      <w:r w:rsidR="00F9572C" w:rsidRPr="007F481A">
        <w:rPr>
          <w:color w:val="auto"/>
        </w:rPr>
        <w:t xml:space="preserve">: the names are mentioned with specific cell </w:t>
      </w:r>
      <w:r w:rsidR="00945F73" w:rsidRPr="007F481A">
        <w:rPr>
          <w:color w:val="auto"/>
        </w:rPr>
        <w:t>type,</w:t>
      </w:r>
      <w:r w:rsidR="00F9572C" w:rsidRPr="007F481A">
        <w:rPr>
          <w:color w:val="auto"/>
        </w:rPr>
        <w:t xml:space="preserve"> cellular morphology or cellular functional </w:t>
      </w:r>
      <w:r>
        <w:rPr>
          <w:color w:val="auto"/>
        </w:rPr>
        <w:t>ending</w:t>
      </w:r>
      <w:r w:rsidRPr="007F481A">
        <w:rPr>
          <w:color w:val="auto"/>
        </w:rPr>
        <w:t xml:space="preserve"> </w:t>
      </w:r>
      <w:r w:rsidR="00F9572C" w:rsidRPr="007F481A">
        <w:rPr>
          <w:color w:val="auto"/>
        </w:rPr>
        <w:t xml:space="preserve">with </w:t>
      </w:r>
      <w:r w:rsidR="00F9572C" w:rsidRPr="007F481A">
        <w:rPr>
          <w:i/>
          <w:color w:val="auto"/>
        </w:rPr>
        <w:t>“cell”</w:t>
      </w:r>
      <w:r w:rsidR="00F9572C" w:rsidRPr="007F481A">
        <w:rPr>
          <w:color w:val="auto"/>
        </w:rPr>
        <w:t xml:space="preserve">, </w:t>
      </w:r>
      <w:r w:rsidR="00F9572C" w:rsidRPr="007F481A">
        <w:rPr>
          <w:i/>
          <w:color w:val="auto"/>
        </w:rPr>
        <w:t>“progenitor”</w:t>
      </w:r>
      <w:r w:rsidR="00F9572C" w:rsidRPr="007F481A">
        <w:rPr>
          <w:color w:val="auto"/>
        </w:rPr>
        <w:t xml:space="preserve"> or </w:t>
      </w:r>
      <w:r w:rsidR="00F9572C" w:rsidRPr="007F481A">
        <w:rPr>
          <w:i/>
          <w:color w:val="auto"/>
        </w:rPr>
        <w:t>“precursors</w:t>
      </w:r>
      <w:r w:rsidR="00945F73" w:rsidRPr="007F481A">
        <w:rPr>
          <w:i/>
          <w:color w:val="auto"/>
        </w:rPr>
        <w:t>”</w:t>
      </w:r>
      <w:r w:rsidR="00945F73" w:rsidRPr="007F481A">
        <w:rPr>
          <w:color w:val="auto"/>
        </w:rPr>
        <w:t>,</w:t>
      </w:r>
      <w:r w:rsidR="00945F73">
        <w:rPr>
          <w:color w:val="auto"/>
        </w:rPr>
        <w:t xml:space="preserve"> </w:t>
      </w:r>
      <w:r w:rsidR="00F9572C" w:rsidRPr="007F481A">
        <w:rPr>
          <w:color w:val="auto"/>
        </w:rPr>
        <w:t>e.g.</w:t>
      </w:r>
      <w:r w:rsidR="00945F73">
        <w:rPr>
          <w:color w:val="auto"/>
        </w:rPr>
        <w:t>,</w:t>
      </w:r>
      <w:r w:rsidR="00F9572C" w:rsidRPr="007F481A">
        <w:rPr>
          <w:color w:val="auto"/>
        </w:rPr>
        <w:t xml:space="preserve"> </w:t>
      </w:r>
      <w:r w:rsidR="00F9572C" w:rsidRPr="007F481A">
        <w:rPr>
          <w:i/>
          <w:color w:val="auto"/>
        </w:rPr>
        <w:t>“</w:t>
      </w:r>
      <w:proofErr w:type="spellStart"/>
      <w:r w:rsidR="00F9572C" w:rsidRPr="007F481A">
        <w:rPr>
          <w:i/>
          <w:color w:val="auto"/>
        </w:rPr>
        <w:t>thymocytes</w:t>
      </w:r>
      <w:proofErr w:type="spellEnd"/>
      <w:r w:rsidR="00F9572C" w:rsidRPr="007F481A">
        <w:rPr>
          <w:i/>
          <w:color w:val="auto"/>
        </w:rPr>
        <w:t>”</w:t>
      </w:r>
      <w:r w:rsidR="00F9572C" w:rsidRPr="007F481A">
        <w:rPr>
          <w:color w:val="auto"/>
        </w:rPr>
        <w:t xml:space="preserve">, </w:t>
      </w:r>
      <w:r w:rsidR="00F9572C" w:rsidRPr="007F481A">
        <w:rPr>
          <w:i/>
          <w:color w:val="auto"/>
        </w:rPr>
        <w:t>“hematopoietic cells”</w:t>
      </w:r>
      <w:r w:rsidR="00F9572C" w:rsidRPr="007F481A">
        <w:rPr>
          <w:color w:val="auto"/>
        </w:rPr>
        <w:t xml:space="preserve"> and </w:t>
      </w:r>
      <w:r w:rsidR="00F9572C" w:rsidRPr="007F481A">
        <w:rPr>
          <w:i/>
          <w:color w:val="auto"/>
        </w:rPr>
        <w:t>“myeloid precursors”</w:t>
      </w:r>
      <w:r w:rsidR="00F9572C" w:rsidRPr="007F481A">
        <w:rPr>
          <w:color w:val="auto"/>
        </w:rPr>
        <w:t>.</w:t>
      </w:r>
    </w:p>
    <w:p w14:paraId="74282BB9" w14:textId="77777777" w:rsidR="00F9572C" w:rsidRPr="007F481A" w:rsidRDefault="00F9572C" w:rsidP="00F9572C">
      <w:pPr>
        <w:ind w:left="480"/>
        <w:jc w:val="both"/>
        <w:rPr>
          <w:color w:val="auto"/>
        </w:rPr>
      </w:pPr>
    </w:p>
    <w:p w14:paraId="44224A2C" w14:textId="77777777" w:rsidR="00F9572C" w:rsidRPr="007F481A" w:rsidRDefault="00F9572C" w:rsidP="00F9572C">
      <w:pPr>
        <w:ind w:left="480"/>
        <w:jc w:val="both"/>
        <w:rPr>
          <w:b/>
          <w:color w:val="auto"/>
        </w:rPr>
      </w:pPr>
      <w:r w:rsidRPr="007F481A">
        <w:rPr>
          <w:b/>
          <w:color w:val="auto"/>
        </w:rPr>
        <w:t>Rule 10: Complex rule</w:t>
      </w:r>
    </w:p>
    <w:p w14:paraId="72845E76" w14:textId="77777777" w:rsidR="00F9572C" w:rsidRPr="007F481A" w:rsidRDefault="00F9572C" w:rsidP="00F9572C">
      <w:pPr>
        <w:ind w:left="480"/>
        <w:jc w:val="both"/>
        <w:rPr>
          <w:color w:val="auto"/>
        </w:rPr>
      </w:pPr>
    </w:p>
    <w:p w14:paraId="5B28C4F5" w14:textId="77777777" w:rsidR="00F9572C" w:rsidRPr="007F481A" w:rsidRDefault="00F9572C" w:rsidP="00F9572C">
      <w:pPr>
        <w:ind w:left="480"/>
        <w:jc w:val="both"/>
        <w:rPr>
          <w:i/>
          <w:color w:val="auto"/>
        </w:rPr>
      </w:pPr>
      <w:r w:rsidRPr="007F481A">
        <w:rPr>
          <w:color w:val="auto"/>
        </w:rPr>
        <w:lastRenderedPageBreak/>
        <w:t xml:space="preserve">If a complex is expressed as </w:t>
      </w:r>
      <w:r w:rsidRPr="007F481A">
        <w:rPr>
          <w:i/>
          <w:color w:val="auto"/>
        </w:rPr>
        <w:t>“&lt;Protein&gt;/&lt;Protein&gt;”</w:t>
      </w:r>
      <w:r w:rsidRPr="007F481A">
        <w:rPr>
          <w:color w:val="auto"/>
        </w:rPr>
        <w:t xml:space="preserve">, it will be treated as one protein. E.g., </w:t>
      </w:r>
      <w:r w:rsidRPr="007F481A">
        <w:rPr>
          <w:i/>
          <w:color w:val="auto"/>
        </w:rPr>
        <w:t>“TCR/CD3”</w:t>
      </w:r>
      <w:r w:rsidRPr="007F481A">
        <w:rPr>
          <w:color w:val="auto"/>
        </w:rPr>
        <w:t xml:space="preserve"> is labeled </w:t>
      </w:r>
      <w:r w:rsidRPr="007F481A">
        <w:rPr>
          <w:i/>
          <w:color w:val="auto"/>
        </w:rPr>
        <w:t>“</w:t>
      </w:r>
      <w:r w:rsidRPr="007F481A">
        <w:rPr>
          <w:i/>
          <w:color w:val="auto"/>
          <w:u w:val="single"/>
        </w:rPr>
        <w:t>TCR/CD3</w:t>
      </w:r>
      <w:r w:rsidRPr="007F481A">
        <w:rPr>
          <w:b/>
          <w:i/>
          <w:color w:val="auto"/>
          <w:u w:val="single"/>
          <w:vertAlign w:val="subscript"/>
        </w:rPr>
        <w:t>protein</w:t>
      </w:r>
      <w:r w:rsidRPr="007F481A">
        <w:rPr>
          <w:i/>
          <w:color w:val="auto"/>
        </w:rPr>
        <w:t>”.</w:t>
      </w:r>
    </w:p>
    <w:p w14:paraId="4618E104" w14:textId="77777777" w:rsidR="00F9572C" w:rsidRPr="007F481A" w:rsidRDefault="00F9572C" w:rsidP="00F9572C">
      <w:pPr>
        <w:ind w:left="480"/>
        <w:jc w:val="both"/>
        <w:rPr>
          <w:i/>
          <w:color w:val="auto"/>
        </w:rPr>
      </w:pPr>
    </w:p>
    <w:p w14:paraId="437D3384" w14:textId="77777777" w:rsidR="00F9572C" w:rsidRPr="007F481A" w:rsidRDefault="00F9572C" w:rsidP="00F9572C">
      <w:pPr>
        <w:ind w:left="480"/>
        <w:jc w:val="both"/>
        <w:rPr>
          <w:b/>
          <w:color w:val="auto"/>
        </w:rPr>
      </w:pPr>
      <w:r w:rsidRPr="007F481A">
        <w:rPr>
          <w:b/>
          <w:color w:val="auto"/>
        </w:rPr>
        <w:t>Rule 11: Amino or DNA sequence rule</w:t>
      </w:r>
    </w:p>
    <w:p w14:paraId="352E195C" w14:textId="77777777" w:rsidR="00F9572C" w:rsidRPr="007F481A" w:rsidRDefault="00F9572C" w:rsidP="00F9572C">
      <w:pPr>
        <w:ind w:left="480"/>
        <w:jc w:val="both"/>
        <w:rPr>
          <w:color w:val="auto"/>
        </w:rPr>
      </w:pPr>
    </w:p>
    <w:p w14:paraId="448FA00F" w14:textId="77777777" w:rsidR="00F9572C" w:rsidRPr="007F481A" w:rsidRDefault="00F9572C" w:rsidP="00F9572C">
      <w:pPr>
        <w:ind w:left="480"/>
        <w:jc w:val="both"/>
        <w:rPr>
          <w:color w:val="auto"/>
        </w:rPr>
      </w:pPr>
      <w:r w:rsidRPr="007F481A">
        <w:rPr>
          <w:color w:val="auto"/>
        </w:rPr>
        <w:t xml:space="preserve">Amino acids and DNA sequences are not labeled as NEs. For example, </w:t>
      </w:r>
      <w:r w:rsidRPr="007F481A">
        <w:rPr>
          <w:i/>
          <w:color w:val="auto"/>
        </w:rPr>
        <w:t>“WGATAR consensus motifs”</w:t>
      </w:r>
      <w:r w:rsidRPr="007F481A">
        <w:rPr>
          <w:color w:val="auto"/>
        </w:rPr>
        <w:t xml:space="preserve"> and </w:t>
      </w:r>
      <w:r w:rsidRPr="007F481A">
        <w:rPr>
          <w:i/>
          <w:color w:val="auto"/>
        </w:rPr>
        <w:t>“GGAAAGTCCC”</w:t>
      </w:r>
      <w:r w:rsidRPr="007F481A">
        <w:rPr>
          <w:color w:val="auto"/>
        </w:rPr>
        <w:t xml:space="preserve"> are not included in the corresponding NE lists.</w:t>
      </w:r>
    </w:p>
    <w:p w14:paraId="54FC3DC8" w14:textId="77777777" w:rsidR="00F9572C" w:rsidRPr="007F481A" w:rsidRDefault="00F9572C" w:rsidP="00F9572C">
      <w:pPr>
        <w:ind w:left="480"/>
        <w:jc w:val="both"/>
        <w:rPr>
          <w:color w:val="auto"/>
        </w:rPr>
      </w:pPr>
    </w:p>
    <w:p w14:paraId="65796ECA" w14:textId="3E912CD0" w:rsidR="00F9572C" w:rsidRPr="007F481A" w:rsidRDefault="00F9572C" w:rsidP="00F9572C">
      <w:pPr>
        <w:ind w:left="480"/>
        <w:jc w:val="both"/>
        <w:rPr>
          <w:b/>
          <w:color w:val="auto"/>
        </w:rPr>
      </w:pPr>
      <w:r w:rsidRPr="007F481A">
        <w:rPr>
          <w:b/>
          <w:color w:val="auto"/>
        </w:rPr>
        <w:t>Rule 1</w:t>
      </w:r>
      <w:r w:rsidR="00BD361C">
        <w:rPr>
          <w:b/>
          <w:color w:val="auto"/>
        </w:rPr>
        <w:t>2</w:t>
      </w:r>
      <w:r w:rsidRPr="007F481A">
        <w:rPr>
          <w:b/>
          <w:color w:val="auto"/>
        </w:rPr>
        <w:t>:</w:t>
      </w:r>
      <w:r w:rsidR="00945F73">
        <w:rPr>
          <w:b/>
          <w:color w:val="auto"/>
        </w:rPr>
        <w:t xml:space="preserve"> </w:t>
      </w:r>
      <w:r w:rsidRPr="007F481A">
        <w:rPr>
          <w:b/>
          <w:color w:val="auto"/>
        </w:rPr>
        <w:t>Group/family protein</w:t>
      </w:r>
    </w:p>
    <w:p w14:paraId="7E9C30F1" w14:textId="77777777" w:rsidR="00F9572C" w:rsidRPr="007F481A" w:rsidRDefault="00F9572C" w:rsidP="00F9572C">
      <w:pPr>
        <w:ind w:left="480"/>
        <w:jc w:val="both"/>
        <w:rPr>
          <w:color w:val="auto"/>
        </w:rPr>
      </w:pPr>
    </w:p>
    <w:p w14:paraId="490E8D87" w14:textId="627103DF" w:rsidR="00F9572C" w:rsidRPr="007F481A" w:rsidRDefault="00F9572C" w:rsidP="00F9572C">
      <w:pPr>
        <w:ind w:left="480"/>
        <w:jc w:val="both"/>
        <w:rPr>
          <w:color w:val="auto"/>
        </w:rPr>
      </w:pPr>
      <w:r w:rsidRPr="007F481A">
        <w:rPr>
          <w:color w:val="auto"/>
        </w:rPr>
        <w:t xml:space="preserve">A protein family is a group of proteins which have similar functions, and a protein complex is a high-level structure consisting of more than one protein. Although, protein families and complexes do not appear in </w:t>
      </w:r>
      <w:proofErr w:type="spellStart"/>
      <w:r w:rsidRPr="007F481A">
        <w:rPr>
          <w:color w:val="auto"/>
        </w:rPr>
        <w:t>Entrez</w:t>
      </w:r>
      <w:proofErr w:type="spellEnd"/>
      <w:r w:rsidRPr="007F481A">
        <w:rPr>
          <w:color w:val="auto"/>
        </w:rPr>
        <w:t xml:space="preserve"> or </w:t>
      </w:r>
      <w:proofErr w:type="spellStart"/>
      <w:r w:rsidRPr="007F481A">
        <w:rPr>
          <w:color w:val="auto"/>
        </w:rPr>
        <w:t>UniProt</w:t>
      </w:r>
      <w:proofErr w:type="spellEnd"/>
      <w:r w:rsidRPr="007F481A">
        <w:rPr>
          <w:color w:val="auto"/>
        </w:rPr>
        <w:t xml:space="preserve"> databases, these entities are still very important for relation extraction. </w:t>
      </w:r>
      <w:r w:rsidR="00BD361C">
        <w:rPr>
          <w:color w:val="auto"/>
        </w:rPr>
        <w:t>So</w:t>
      </w:r>
      <w:r w:rsidRPr="007F481A">
        <w:rPr>
          <w:color w:val="auto"/>
        </w:rPr>
        <w:t>, we include them in Revised JNLPBA.</w:t>
      </w:r>
    </w:p>
    <w:p w14:paraId="4E58572C" w14:textId="77777777" w:rsidR="00F9572C" w:rsidRPr="007F481A" w:rsidRDefault="00F9572C" w:rsidP="00F9572C">
      <w:pPr>
        <w:rPr>
          <w:color w:val="auto"/>
        </w:rPr>
      </w:pPr>
    </w:p>
    <w:p w14:paraId="2E1518BD" w14:textId="77777777" w:rsidR="00F9572C" w:rsidRPr="007F481A" w:rsidRDefault="00F9572C" w:rsidP="00F9572C">
      <w:pPr>
        <w:pStyle w:val="ad"/>
        <w:numPr>
          <w:ilvl w:val="0"/>
          <w:numId w:val="4"/>
        </w:numPr>
        <w:ind w:leftChars="0"/>
        <w:rPr>
          <w:color w:val="auto"/>
        </w:rPr>
      </w:pPr>
      <w:r w:rsidRPr="007F481A">
        <w:rPr>
          <w:b/>
          <w:color w:val="auto"/>
        </w:rPr>
        <w:t>Inter-annotator Agreement (IAA) Analysis</w:t>
      </w:r>
    </w:p>
    <w:p w14:paraId="7A62D7C2" w14:textId="77777777" w:rsidR="00F9572C" w:rsidRPr="007F481A" w:rsidRDefault="00F9572C" w:rsidP="00F9572C">
      <w:pPr>
        <w:pStyle w:val="ad"/>
        <w:ind w:leftChars="0" w:left="360"/>
        <w:rPr>
          <w:b/>
          <w:color w:val="auto"/>
        </w:rPr>
      </w:pPr>
    </w:p>
    <w:p w14:paraId="3CFC2A28" w14:textId="24AE79D3" w:rsidR="00F9572C" w:rsidRPr="007F481A" w:rsidRDefault="00F9572C" w:rsidP="00F9572C">
      <w:pPr>
        <w:pStyle w:val="ad"/>
        <w:ind w:leftChars="0" w:left="360"/>
        <w:rPr>
          <w:color w:val="auto"/>
        </w:rPr>
      </w:pPr>
      <w:r w:rsidRPr="007F481A">
        <w:rPr>
          <w:color w:val="auto"/>
        </w:rPr>
        <w:t xml:space="preserve">To evaluate the consistency of the annotation, we used Cohen's kappa coefficient. As shown below, </w:t>
      </w:r>
      <w:r w:rsidRPr="004215C8">
        <w:rPr>
          <w:i/>
          <w:color w:val="auto"/>
        </w:rPr>
        <w:t>κ</w:t>
      </w:r>
      <w:r w:rsidR="00BD361C">
        <w:rPr>
          <w:color w:val="auto"/>
        </w:rPr>
        <w:t xml:space="preserve"> </w:t>
      </w:r>
      <w:r w:rsidRPr="007F481A">
        <w:rPr>
          <w:color w:val="auto"/>
        </w:rPr>
        <w:t xml:space="preserve">is the kappa value. </w:t>
      </w: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oMath>
      <w:r w:rsidRPr="007F481A">
        <w:rPr>
          <w:color w:val="auto"/>
        </w:rPr>
        <w:t xml:space="preserve"> </w:t>
      </w:r>
      <w:proofErr w:type="gramStart"/>
      <w:r w:rsidRPr="007F481A">
        <w:rPr>
          <w:color w:val="auto"/>
        </w:rPr>
        <w:t>is</w:t>
      </w:r>
      <w:proofErr w:type="gramEnd"/>
      <w:r w:rsidRPr="007F481A">
        <w:rPr>
          <w:color w:val="auto"/>
        </w:rPr>
        <w:t xml:space="preserve"> the relative observed agreement among annotators, and </w:t>
      </w:r>
      <m:oMath>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e</m:t>
            </m:r>
          </m:sub>
        </m:sSub>
      </m:oMath>
      <w:r w:rsidRPr="007F481A">
        <w:rPr>
          <w:color w:val="auto"/>
        </w:rPr>
        <w:t xml:space="preserve"> is the hypothetical probability of chance agreement.</w:t>
      </w:r>
    </w:p>
    <w:p w14:paraId="30EA23F6" w14:textId="77777777" w:rsidR="00F9572C" w:rsidRPr="007F481A" w:rsidRDefault="00F9572C" w:rsidP="00F9572C">
      <w:pPr>
        <w:pStyle w:val="ad"/>
        <w:ind w:leftChars="0" w:left="360"/>
        <w:rPr>
          <w:color w:val="auto"/>
        </w:rPr>
      </w:pPr>
      <m:oMathPara>
        <m:oMath>
          <m:r>
            <w:rPr>
              <w:rFonts w:ascii="Cambria Math" w:hAnsi="Cambria Math"/>
              <w:color w:val="auto"/>
            </w:rPr>
            <m:t>κ</m:t>
          </m:r>
          <m:r>
            <m:rPr>
              <m:sty m:val="p"/>
            </m:rPr>
            <w:rPr>
              <w:rFonts w:ascii="Cambria Math" w:hAnsi="Cambria Math"/>
              <w:color w:val="auto"/>
            </w:rPr>
            <m:t xml:space="preserve">= </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e</m:t>
                  </m:r>
                </m:sub>
              </m:sSub>
            </m:num>
            <m:den>
              <m:r>
                <w:rPr>
                  <w:rFonts w:ascii="Cambria Math" w:hAnsi="Cambria Math"/>
                  <w:color w:val="auto"/>
                </w:rPr>
                <m:t>1-</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e</m:t>
                  </m:r>
                </m:sub>
              </m:sSub>
            </m:den>
          </m:f>
          <m:r>
            <w:rPr>
              <w:rFonts w:ascii="Cambria Math" w:hAnsi="Cambria Math"/>
              <w:color w:val="auto"/>
            </w:rPr>
            <m:t xml:space="preserve"> </m:t>
          </m:r>
        </m:oMath>
      </m:oMathPara>
    </w:p>
    <w:p w14:paraId="21726FA2" w14:textId="77777777" w:rsidR="00F9572C" w:rsidRPr="007F481A" w:rsidRDefault="00F9572C" w:rsidP="00F9572C">
      <w:pPr>
        <w:pStyle w:val="ad"/>
        <w:ind w:leftChars="0" w:left="360"/>
        <w:rPr>
          <w:color w:val="auto"/>
        </w:rPr>
      </w:pPr>
    </w:p>
    <w:p w14:paraId="3E315678" w14:textId="0BB0BCB2" w:rsidR="00F9572C" w:rsidRPr="007F481A" w:rsidRDefault="00F9572C" w:rsidP="00F9572C">
      <w:pPr>
        <w:pStyle w:val="ad"/>
        <w:ind w:leftChars="0" w:left="360"/>
        <w:rPr>
          <w:color w:val="auto"/>
        </w:rPr>
      </w:pPr>
      <w:r w:rsidRPr="007F481A">
        <w:rPr>
          <w:color w:val="auto"/>
        </w:rPr>
        <w:t xml:space="preserve">There are two curators </w:t>
      </w:r>
      <w:r w:rsidR="00BD361C">
        <w:rPr>
          <w:color w:val="auto"/>
        </w:rPr>
        <w:t>participating in the</w:t>
      </w:r>
      <w:r w:rsidRPr="007F481A">
        <w:rPr>
          <w:color w:val="auto"/>
        </w:rPr>
        <w:t xml:space="preserve"> two</w:t>
      </w:r>
      <w:r w:rsidR="00BD361C">
        <w:rPr>
          <w:color w:val="auto"/>
        </w:rPr>
        <w:t>-stage</w:t>
      </w:r>
      <w:r w:rsidRPr="007F481A">
        <w:rPr>
          <w:color w:val="auto"/>
        </w:rPr>
        <w:t xml:space="preserve"> annotations. After </w:t>
      </w:r>
      <w:r w:rsidR="00BD361C">
        <w:rPr>
          <w:color w:val="auto"/>
        </w:rPr>
        <w:t xml:space="preserve">the </w:t>
      </w:r>
      <w:r w:rsidRPr="007F481A">
        <w:rPr>
          <w:color w:val="auto"/>
        </w:rPr>
        <w:t xml:space="preserve">first </w:t>
      </w:r>
      <w:r w:rsidR="00BD361C">
        <w:rPr>
          <w:color w:val="auto"/>
        </w:rPr>
        <w:t>stage,</w:t>
      </w:r>
      <w:r w:rsidRPr="007F481A">
        <w:rPr>
          <w:color w:val="auto"/>
        </w:rPr>
        <w:t xml:space="preserve"> the two curators would discuss about annotation </w:t>
      </w:r>
      <w:r w:rsidR="00BD361C">
        <w:rPr>
          <w:color w:val="auto"/>
        </w:rPr>
        <w:t>disagreements,</w:t>
      </w:r>
      <w:r w:rsidR="00BD361C" w:rsidRPr="007F481A">
        <w:rPr>
          <w:color w:val="auto"/>
        </w:rPr>
        <w:t xml:space="preserve"> </w:t>
      </w:r>
      <w:r w:rsidRPr="007F481A">
        <w:rPr>
          <w:color w:val="auto"/>
        </w:rPr>
        <w:t>and</w:t>
      </w:r>
      <w:r w:rsidR="00BD361C">
        <w:rPr>
          <w:color w:val="auto"/>
        </w:rPr>
        <w:t xml:space="preserve"> then</w:t>
      </w:r>
      <w:r w:rsidRPr="007F481A">
        <w:rPr>
          <w:color w:val="auto"/>
        </w:rPr>
        <w:t xml:space="preserve"> start</w:t>
      </w:r>
      <w:r w:rsidR="00BD361C">
        <w:rPr>
          <w:color w:val="auto"/>
        </w:rPr>
        <w:t xml:space="preserve"> the second stage </w:t>
      </w:r>
      <w:r w:rsidRPr="007F481A">
        <w:rPr>
          <w:color w:val="auto"/>
        </w:rPr>
        <w:t xml:space="preserve">annotation. The kappa values are 79.5% and 91.4% in </w:t>
      </w:r>
      <w:r w:rsidR="00BD361C">
        <w:rPr>
          <w:color w:val="auto"/>
        </w:rPr>
        <w:t xml:space="preserve">the </w:t>
      </w:r>
      <w:r w:rsidRPr="007F481A">
        <w:rPr>
          <w:color w:val="auto"/>
        </w:rPr>
        <w:t xml:space="preserve">first and </w:t>
      </w:r>
      <w:r w:rsidR="00BD361C">
        <w:rPr>
          <w:color w:val="auto"/>
        </w:rPr>
        <w:t xml:space="preserve">the </w:t>
      </w:r>
      <w:r w:rsidRPr="007F481A">
        <w:rPr>
          <w:color w:val="auto"/>
        </w:rPr>
        <w:t xml:space="preserve">second </w:t>
      </w:r>
      <w:r w:rsidR="00BD361C">
        <w:rPr>
          <w:color w:val="auto"/>
        </w:rPr>
        <w:t>stage</w:t>
      </w:r>
      <w:r w:rsidR="001B0369">
        <w:rPr>
          <w:color w:val="auto"/>
        </w:rPr>
        <w:t>,</w:t>
      </w:r>
      <w:r w:rsidR="00BD361C" w:rsidRPr="007F481A">
        <w:rPr>
          <w:color w:val="auto"/>
        </w:rPr>
        <w:t xml:space="preserve"> </w:t>
      </w:r>
      <w:r w:rsidRPr="007F481A">
        <w:rPr>
          <w:color w:val="auto"/>
        </w:rPr>
        <w:t>respectively, which suggest</w:t>
      </w:r>
      <w:r w:rsidR="00BD361C">
        <w:rPr>
          <w:color w:val="auto"/>
        </w:rPr>
        <w:t>s</w:t>
      </w:r>
      <w:r w:rsidRPr="007F481A">
        <w:rPr>
          <w:color w:val="auto"/>
        </w:rPr>
        <w:t xml:space="preserve"> </w:t>
      </w:r>
      <w:r w:rsidR="00945F73">
        <w:rPr>
          <w:color w:val="auto"/>
        </w:rPr>
        <w:t xml:space="preserve">a </w:t>
      </w:r>
      <w:r w:rsidRPr="007F481A">
        <w:rPr>
          <w:color w:val="auto"/>
        </w:rPr>
        <w:t>high level of agreement.</w:t>
      </w:r>
    </w:p>
    <w:p w14:paraId="05CF116A" w14:textId="77777777" w:rsidR="00F9572C" w:rsidRDefault="00F9572C">
      <w:pPr>
        <w:rPr>
          <w:b/>
          <w:color w:val="auto"/>
          <w:sz w:val="36"/>
          <w:szCs w:val="36"/>
        </w:rPr>
      </w:pPr>
    </w:p>
    <w:p w14:paraId="502796FA" w14:textId="5BB3BC53" w:rsidR="00F9572C" w:rsidRDefault="00F9572C">
      <w:pPr>
        <w:rPr>
          <w:b/>
          <w:color w:val="auto"/>
          <w:sz w:val="36"/>
          <w:szCs w:val="36"/>
        </w:rPr>
      </w:pPr>
    </w:p>
    <w:p w14:paraId="7273511A" w14:textId="767D9177" w:rsidR="005B0F4C" w:rsidRPr="00D0338C" w:rsidRDefault="005B0F4C" w:rsidP="0078312F"/>
    <w:sectPr w:rsidR="005B0F4C" w:rsidRPr="00D0338C">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15DA8" w14:textId="77777777" w:rsidR="00550841" w:rsidRDefault="00550841" w:rsidP="00574ADA">
      <w:pPr>
        <w:spacing w:line="240" w:lineRule="auto"/>
      </w:pPr>
      <w:r>
        <w:separator/>
      </w:r>
    </w:p>
  </w:endnote>
  <w:endnote w:type="continuationSeparator" w:id="0">
    <w:p w14:paraId="0718CFF7" w14:textId="77777777" w:rsidR="00550841" w:rsidRDefault="00550841" w:rsidP="00574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C5C6B" w14:textId="77777777" w:rsidR="00550841" w:rsidRDefault="00550841" w:rsidP="00574ADA">
      <w:pPr>
        <w:spacing w:line="240" w:lineRule="auto"/>
      </w:pPr>
      <w:r>
        <w:separator/>
      </w:r>
    </w:p>
  </w:footnote>
  <w:footnote w:type="continuationSeparator" w:id="0">
    <w:p w14:paraId="54081293" w14:textId="77777777" w:rsidR="00550841" w:rsidRDefault="00550841" w:rsidP="00574A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175F"/>
    <w:multiLevelType w:val="hybridMultilevel"/>
    <w:tmpl w:val="C88662B2"/>
    <w:lvl w:ilvl="0" w:tplc="BA42EAD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D3570D"/>
    <w:multiLevelType w:val="hybridMultilevel"/>
    <w:tmpl w:val="18C83980"/>
    <w:lvl w:ilvl="0" w:tplc="EE560F08">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17542B"/>
    <w:multiLevelType w:val="hybridMultilevel"/>
    <w:tmpl w:val="79B20BA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30277F89"/>
    <w:multiLevelType w:val="hybridMultilevel"/>
    <w:tmpl w:val="53020C82"/>
    <w:lvl w:ilvl="0" w:tplc="DC868420">
      <w:numFmt w:val="bullet"/>
      <w:lvlText w:val="·"/>
      <w:lvlJc w:val="left"/>
      <w:pPr>
        <w:ind w:left="840" w:hanging="360"/>
      </w:pPr>
      <w:rPr>
        <w:rFonts w:ascii="Arial" w:eastAsiaTheme="minorEastAsia"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4450763D"/>
    <w:multiLevelType w:val="hybridMultilevel"/>
    <w:tmpl w:val="819814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26217AD"/>
    <w:multiLevelType w:val="hybridMultilevel"/>
    <w:tmpl w:val="AC56CE54"/>
    <w:lvl w:ilvl="0" w:tplc="46AA4BF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FA560A5"/>
    <w:multiLevelType w:val="hybridMultilevel"/>
    <w:tmpl w:val="C45C9AAE"/>
    <w:lvl w:ilvl="0" w:tplc="0C090001">
      <w:start w:val="1"/>
      <w:numFmt w:val="bullet"/>
      <w:lvlText w:val=""/>
      <w:lvlJc w:val="left"/>
      <w:pPr>
        <w:ind w:left="840" w:hanging="36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7DA735B0"/>
    <w:multiLevelType w:val="hybridMultilevel"/>
    <w:tmpl w:val="D0888494"/>
    <w:lvl w:ilvl="0" w:tplc="77F08E5E">
      <w:start w:val="1"/>
      <w:numFmt w:val="decimal"/>
      <w:lvlText w:val="%1."/>
      <w:lvlJc w:val="left"/>
      <w:pPr>
        <w:ind w:left="360" w:hanging="360"/>
      </w:pPr>
      <w:rPr>
        <w:rFonts w:hint="default"/>
      </w:rPr>
    </w:lvl>
    <w:lvl w:ilvl="1" w:tplc="F53C804C">
      <w:start w:val="1"/>
      <w:numFmt w:val="decimal"/>
      <w:lvlText w:val="3.%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6"/>
  </w:num>
  <w:num w:numId="4">
    <w:abstractNumId w:val="7"/>
  </w:num>
  <w:num w:numId="5">
    <w:abstractNumId w:val="4"/>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許老師">
    <w15:presenceInfo w15:providerId="AD" w15:userId="S-1-5-21-932210263-284243272-1563503735-1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30AE6"/>
    <w:rsid w:val="000000BD"/>
    <w:rsid w:val="00016819"/>
    <w:rsid w:val="00021E2D"/>
    <w:rsid w:val="0002202A"/>
    <w:rsid w:val="00022197"/>
    <w:rsid w:val="0002760E"/>
    <w:rsid w:val="00033EF3"/>
    <w:rsid w:val="00067578"/>
    <w:rsid w:val="0008499C"/>
    <w:rsid w:val="000C2A33"/>
    <w:rsid w:val="000C3BB5"/>
    <w:rsid w:val="000E1A1D"/>
    <w:rsid w:val="000E222E"/>
    <w:rsid w:val="000E6045"/>
    <w:rsid w:val="0012355E"/>
    <w:rsid w:val="001557B7"/>
    <w:rsid w:val="00196D9E"/>
    <w:rsid w:val="001B0369"/>
    <w:rsid w:val="001D4A7D"/>
    <w:rsid w:val="00225ACA"/>
    <w:rsid w:val="0023355F"/>
    <w:rsid w:val="00242D53"/>
    <w:rsid w:val="00300215"/>
    <w:rsid w:val="0031585B"/>
    <w:rsid w:val="0035024D"/>
    <w:rsid w:val="003526E8"/>
    <w:rsid w:val="00370EBD"/>
    <w:rsid w:val="00395E44"/>
    <w:rsid w:val="003A6445"/>
    <w:rsid w:val="003C296A"/>
    <w:rsid w:val="003E7F31"/>
    <w:rsid w:val="003F72CE"/>
    <w:rsid w:val="004215C8"/>
    <w:rsid w:val="0043615B"/>
    <w:rsid w:val="004A1759"/>
    <w:rsid w:val="004B7F07"/>
    <w:rsid w:val="004C16D6"/>
    <w:rsid w:val="004D20BE"/>
    <w:rsid w:val="004D6B3E"/>
    <w:rsid w:val="004F7D5D"/>
    <w:rsid w:val="00501C7C"/>
    <w:rsid w:val="0052396E"/>
    <w:rsid w:val="00532736"/>
    <w:rsid w:val="00550841"/>
    <w:rsid w:val="00574ADA"/>
    <w:rsid w:val="00587877"/>
    <w:rsid w:val="005A258A"/>
    <w:rsid w:val="005B0F4C"/>
    <w:rsid w:val="005E009C"/>
    <w:rsid w:val="005F23AB"/>
    <w:rsid w:val="00662813"/>
    <w:rsid w:val="00683F6A"/>
    <w:rsid w:val="006974AF"/>
    <w:rsid w:val="006A2131"/>
    <w:rsid w:val="006B0D4D"/>
    <w:rsid w:val="006E2134"/>
    <w:rsid w:val="007139C1"/>
    <w:rsid w:val="00730AE6"/>
    <w:rsid w:val="00744D7C"/>
    <w:rsid w:val="0076052D"/>
    <w:rsid w:val="0078312F"/>
    <w:rsid w:val="0078522B"/>
    <w:rsid w:val="007B0924"/>
    <w:rsid w:val="007C050C"/>
    <w:rsid w:val="007F2A8C"/>
    <w:rsid w:val="007F481A"/>
    <w:rsid w:val="00801119"/>
    <w:rsid w:val="00807CD5"/>
    <w:rsid w:val="0081077F"/>
    <w:rsid w:val="008162EC"/>
    <w:rsid w:val="00824045"/>
    <w:rsid w:val="00836048"/>
    <w:rsid w:val="0084738E"/>
    <w:rsid w:val="00873CC5"/>
    <w:rsid w:val="008848B6"/>
    <w:rsid w:val="008856D6"/>
    <w:rsid w:val="008A56BF"/>
    <w:rsid w:val="008B53E2"/>
    <w:rsid w:val="008D09AC"/>
    <w:rsid w:val="00926DC7"/>
    <w:rsid w:val="00933897"/>
    <w:rsid w:val="00945F73"/>
    <w:rsid w:val="00976AD9"/>
    <w:rsid w:val="00983BEC"/>
    <w:rsid w:val="009B6EB2"/>
    <w:rsid w:val="009D428E"/>
    <w:rsid w:val="009E7060"/>
    <w:rsid w:val="00A127C8"/>
    <w:rsid w:val="00A247B4"/>
    <w:rsid w:val="00A71E89"/>
    <w:rsid w:val="00A91EE8"/>
    <w:rsid w:val="00AC276A"/>
    <w:rsid w:val="00B142BD"/>
    <w:rsid w:val="00B24E83"/>
    <w:rsid w:val="00BB3CB9"/>
    <w:rsid w:val="00BD2F60"/>
    <w:rsid w:val="00BD361C"/>
    <w:rsid w:val="00BD6F01"/>
    <w:rsid w:val="00BF2E9A"/>
    <w:rsid w:val="00C06B08"/>
    <w:rsid w:val="00CA38C7"/>
    <w:rsid w:val="00D0338C"/>
    <w:rsid w:val="00D61839"/>
    <w:rsid w:val="00D74CDF"/>
    <w:rsid w:val="00D76E50"/>
    <w:rsid w:val="00DC4D30"/>
    <w:rsid w:val="00DD1524"/>
    <w:rsid w:val="00E161BA"/>
    <w:rsid w:val="00E2092C"/>
    <w:rsid w:val="00E2675E"/>
    <w:rsid w:val="00E302CA"/>
    <w:rsid w:val="00E55508"/>
    <w:rsid w:val="00E55DC7"/>
    <w:rsid w:val="00EE2426"/>
    <w:rsid w:val="00EF2AB1"/>
    <w:rsid w:val="00F272E3"/>
    <w:rsid w:val="00F33920"/>
    <w:rsid w:val="00F37A9E"/>
    <w:rsid w:val="00F9572C"/>
    <w:rsid w:val="00FA6F03"/>
    <w:rsid w:val="00FF26A1"/>
    <w:rsid w:val="00FF5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D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TW"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574ADA"/>
    <w:pPr>
      <w:tabs>
        <w:tab w:val="center" w:pos="4153"/>
        <w:tab w:val="right" w:pos="8306"/>
      </w:tabs>
      <w:snapToGrid w:val="0"/>
    </w:pPr>
    <w:rPr>
      <w:sz w:val="20"/>
      <w:szCs w:val="20"/>
    </w:rPr>
  </w:style>
  <w:style w:type="character" w:customStyle="1" w:styleId="a6">
    <w:name w:val="頁首 字元"/>
    <w:basedOn w:val="a0"/>
    <w:link w:val="a5"/>
    <w:uiPriority w:val="99"/>
    <w:rsid w:val="00574ADA"/>
    <w:rPr>
      <w:sz w:val="20"/>
      <w:szCs w:val="20"/>
    </w:rPr>
  </w:style>
  <w:style w:type="paragraph" w:styleId="a7">
    <w:name w:val="footer"/>
    <w:basedOn w:val="a"/>
    <w:link w:val="a8"/>
    <w:uiPriority w:val="99"/>
    <w:unhideWhenUsed/>
    <w:rsid w:val="00574ADA"/>
    <w:pPr>
      <w:tabs>
        <w:tab w:val="center" w:pos="4153"/>
        <w:tab w:val="right" w:pos="8306"/>
      </w:tabs>
      <w:snapToGrid w:val="0"/>
    </w:pPr>
    <w:rPr>
      <w:sz w:val="20"/>
      <w:szCs w:val="20"/>
    </w:rPr>
  </w:style>
  <w:style w:type="character" w:customStyle="1" w:styleId="a8">
    <w:name w:val="頁尾 字元"/>
    <w:basedOn w:val="a0"/>
    <w:link w:val="a7"/>
    <w:uiPriority w:val="99"/>
    <w:rsid w:val="00574ADA"/>
    <w:rPr>
      <w:sz w:val="20"/>
      <w:szCs w:val="20"/>
    </w:rPr>
  </w:style>
  <w:style w:type="character" w:styleId="a9">
    <w:name w:val="Placeholder Text"/>
    <w:basedOn w:val="a0"/>
    <w:uiPriority w:val="99"/>
    <w:semiHidden/>
    <w:rsid w:val="00574ADA"/>
    <w:rPr>
      <w:color w:val="808080"/>
    </w:rPr>
  </w:style>
  <w:style w:type="paragraph" w:styleId="aa">
    <w:name w:val="Balloon Text"/>
    <w:basedOn w:val="a"/>
    <w:link w:val="ab"/>
    <w:uiPriority w:val="99"/>
    <w:semiHidden/>
    <w:unhideWhenUsed/>
    <w:rsid w:val="00574ADA"/>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4ADA"/>
    <w:rPr>
      <w:rFonts w:asciiTheme="majorHAnsi" w:eastAsiaTheme="majorEastAsia" w:hAnsiTheme="majorHAnsi" w:cstheme="majorBidi"/>
      <w:sz w:val="18"/>
      <w:szCs w:val="18"/>
    </w:rPr>
  </w:style>
  <w:style w:type="table" w:styleId="ac">
    <w:name w:val="Table Grid"/>
    <w:basedOn w:val="a1"/>
    <w:uiPriority w:val="59"/>
    <w:rsid w:val="00A91E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D61839"/>
    <w:pPr>
      <w:ind w:leftChars="200" w:left="480"/>
    </w:pPr>
  </w:style>
  <w:style w:type="paragraph" w:customStyle="1" w:styleId="DefinitionTerm">
    <w:name w:val="Definition Term"/>
    <w:basedOn w:val="a"/>
    <w:next w:val="a"/>
    <w:rsid w:val="007F481A"/>
    <w:pPr>
      <w:keepNext/>
      <w:keepLines/>
      <w:pBdr>
        <w:top w:val="none" w:sz="0" w:space="0" w:color="auto"/>
        <w:left w:val="none" w:sz="0" w:space="0" w:color="auto"/>
        <w:bottom w:val="none" w:sz="0" w:space="0" w:color="auto"/>
        <w:right w:val="none" w:sz="0" w:space="0" w:color="auto"/>
        <w:between w:val="none" w:sz="0" w:space="0" w:color="auto"/>
      </w:pBdr>
      <w:spacing w:line="240" w:lineRule="auto"/>
    </w:pPr>
    <w:rPr>
      <w:rFonts w:ascii="Cambria" w:eastAsia="新細明體" w:hAnsi="Cambria" w:cs="Times New Roman"/>
      <w:b/>
      <w:color w:val="auto"/>
      <w:sz w:val="24"/>
      <w:szCs w:val="24"/>
      <w:lang w:eastAsia="en-US"/>
    </w:rPr>
  </w:style>
  <w:style w:type="paragraph" w:styleId="Web">
    <w:name w:val="Normal (Web)"/>
    <w:basedOn w:val="a"/>
    <w:uiPriority w:val="99"/>
    <w:unhideWhenUsed/>
    <w:rsid w:val="00D0338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eastAsia="新細明體" w:hAnsi="新細明體" w:cs="新細明體"/>
      <w:color w:val="auto"/>
      <w:sz w:val="24"/>
      <w:szCs w:val="24"/>
    </w:rPr>
  </w:style>
  <w:style w:type="paragraph" w:customStyle="1" w:styleId="Compact">
    <w:name w:val="Compact"/>
    <w:basedOn w:val="ae"/>
    <w:qFormat/>
    <w:rsid w:val="00B24E83"/>
    <w:pPr>
      <w:pBdr>
        <w:top w:val="none" w:sz="0" w:space="0" w:color="auto"/>
        <w:left w:val="none" w:sz="0" w:space="0" w:color="auto"/>
        <w:bottom w:val="none" w:sz="0" w:space="0" w:color="auto"/>
        <w:right w:val="none" w:sz="0" w:space="0" w:color="auto"/>
        <w:between w:val="none" w:sz="0" w:space="0" w:color="auto"/>
      </w:pBdr>
      <w:spacing w:before="36" w:after="36" w:line="240" w:lineRule="auto"/>
    </w:pPr>
    <w:rPr>
      <w:rFonts w:ascii="Cambria" w:eastAsia="新細明體" w:hAnsi="Cambria" w:cs="Times New Roman"/>
      <w:color w:val="auto"/>
      <w:sz w:val="24"/>
      <w:szCs w:val="24"/>
      <w:lang w:val="x-none" w:eastAsia="en-US"/>
    </w:rPr>
  </w:style>
  <w:style w:type="paragraph" w:customStyle="1" w:styleId="TableCaption">
    <w:name w:val="Table Caption"/>
    <w:basedOn w:val="af"/>
    <w:rsid w:val="00B24E83"/>
    <w:pPr>
      <w:keepNext/>
      <w:pBdr>
        <w:top w:val="none" w:sz="0" w:space="0" w:color="auto"/>
        <w:left w:val="none" w:sz="0" w:space="0" w:color="auto"/>
        <w:bottom w:val="none" w:sz="0" w:space="0" w:color="auto"/>
        <w:right w:val="none" w:sz="0" w:space="0" w:color="auto"/>
        <w:between w:val="none" w:sz="0" w:space="0" w:color="auto"/>
      </w:pBdr>
      <w:spacing w:after="120" w:line="240" w:lineRule="auto"/>
    </w:pPr>
    <w:rPr>
      <w:rFonts w:ascii="Cambria" w:eastAsia="新細明體" w:hAnsi="Cambria" w:cs="Times New Roman"/>
      <w:i/>
      <w:color w:val="auto"/>
      <w:sz w:val="24"/>
      <w:szCs w:val="24"/>
      <w:lang w:eastAsia="en-US"/>
    </w:rPr>
  </w:style>
  <w:style w:type="paragraph" w:styleId="ae">
    <w:name w:val="Body Text"/>
    <w:basedOn w:val="a"/>
    <w:link w:val="af0"/>
    <w:uiPriority w:val="99"/>
    <w:semiHidden/>
    <w:unhideWhenUsed/>
    <w:rsid w:val="00B24E83"/>
    <w:pPr>
      <w:spacing w:after="120"/>
    </w:pPr>
  </w:style>
  <w:style w:type="character" w:customStyle="1" w:styleId="af0">
    <w:name w:val="本文 字元"/>
    <w:basedOn w:val="a0"/>
    <w:link w:val="ae"/>
    <w:uiPriority w:val="99"/>
    <w:semiHidden/>
    <w:rsid w:val="00B24E83"/>
  </w:style>
  <w:style w:type="paragraph" w:styleId="af">
    <w:name w:val="caption"/>
    <w:basedOn w:val="a"/>
    <w:next w:val="a"/>
    <w:uiPriority w:val="35"/>
    <w:semiHidden/>
    <w:unhideWhenUsed/>
    <w:qFormat/>
    <w:rsid w:val="00B24E83"/>
    <w:rPr>
      <w:sz w:val="20"/>
      <w:szCs w:val="20"/>
    </w:rPr>
  </w:style>
  <w:style w:type="paragraph" w:styleId="10">
    <w:name w:val="toc 1"/>
    <w:basedOn w:val="a"/>
    <w:next w:val="a"/>
    <w:autoRedefine/>
    <w:uiPriority w:val="39"/>
    <w:unhideWhenUsed/>
    <w:rsid w:val="00F37A9E"/>
  </w:style>
  <w:style w:type="paragraph" w:styleId="20">
    <w:name w:val="toc 2"/>
    <w:basedOn w:val="a"/>
    <w:next w:val="a"/>
    <w:autoRedefine/>
    <w:uiPriority w:val="39"/>
    <w:unhideWhenUsed/>
    <w:rsid w:val="00F37A9E"/>
    <w:pPr>
      <w:ind w:leftChars="200" w:left="480"/>
    </w:pPr>
  </w:style>
  <w:style w:type="paragraph" w:styleId="30">
    <w:name w:val="toc 3"/>
    <w:basedOn w:val="a"/>
    <w:next w:val="a"/>
    <w:autoRedefine/>
    <w:uiPriority w:val="39"/>
    <w:unhideWhenUsed/>
    <w:rsid w:val="00F37A9E"/>
    <w:pPr>
      <w:ind w:leftChars="400" w:left="960"/>
    </w:pPr>
  </w:style>
  <w:style w:type="paragraph" w:styleId="40">
    <w:name w:val="toc 4"/>
    <w:basedOn w:val="a"/>
    <w:next w:val="a"/>
    <w:autoRedefine/>
    <w:uiPriority w:val="39"/>
    <w:unhideWhenUsed/>
    <w:rsid w:val="00F37A9E"/>
    <w:pPr>
      <w:ind w:leftChars="600" w:left="1440"/>
    </w:pPr>
  </w:style>
  <w:style w:type="paragraph" w:styleId="50">
    <w:name w:val="toc 5"/>
    <w:basedOn w:val="a"/>
    <w:next w:val="a"/>
    <w:autoRedefine/>
    <w:uiPriority w:val="39"/>
    <w:unhideWhenUsed/>
    <w:rsid w:val="00F37A9E"/>
    <w:pPr>
      <w:ind w:leftChars="800" w:left="1920"/>
    </w:pPr>
  </w:style>
  <w:style w:type="paragraph" w:styleId="60">
    <w:name w:val="toc 6"/>
    <w:basedOn w:val="a"/>
    <w:next w:val="a"/>
    <w:autoRedefine/>
    <w:uiPriority w:val="39"/>
    <w:unhideWhenUsed/>
    <w:rsid w:val="00F37A9E"/>
    <w:pPr>
      <w:ind w:leftChars="1000" w:left="2400"/>
    </w:pPr>
  </w:style>
  <w:style w:type="paragraph" w:styleId="7">
    <w:name w:val="toc 7"/>
    <w:basedOn w:val="a"/>
    <w:next w:val="a"/>
    <w:autoRedefine/>
    <w:uiPriority w:val="39"/>
    <w:unhideWhenUsed/>
    <w:rsid w:val="00F37A9E"/>
    <w:pPr>
      <w:ind w:leftChars="1200" w:left="2880"/>
    </w:pPr>
  </w:style>
  <w:style w:type="paragraph" w:styleId="8">
    <w:name w:val="toc 8"/>
    <w:basedOn w:val="a"/>
    <w:next w:val="a"/>
    <w:autoRedefine/>
    <w:uiPriority w:val="39"/>
    <w:unhideWhenUsed/>
    <w:rsid w:val="00F37A9E"/>
    <w:pPr>
      <w:ind w:leftChars="1400" w:left="3360"/>
    </w:pPr>
  </w:style>
  <w:style w:type="paragraph" w:styleId="9">
    <w:name w:val="toc 9"/>
    <w:basedOn w:val="a"/>
    <w:next w:val="a"/>
    <w:autoRedefine/>
    <w:uiPriority w:val="39"/>
    <w:unhideWhenUsed/>
    <w:rsid w:val="00F37A9E"/>
    <w:pPr>
      <w:ind w:leftChars="1600" w:left="3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TW"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574ADA"/>
    <w:pPr>
      <w:tabs>
        <w:tab w:val="center" w:pos="4153"/>
        <w:tab w:val="right" w:pos="8306"/>
      </w:tabs>
      <w:snapToGrid w:val="0"/>
    </w:pPr>
    <w:rPr>
      <w:sz w:val="20"/>
      <w:szCs w:val="20"/>
    </w:rPr>
  </w:style>
  <w:style w:type="character" w:customStyle="1" w:styleId="a6">
    <w:name w:val="頁首 字元"/>
    <w:basedOn w:val="a0"/>
    <w:link w:val="a5"/>
    <w:uiPriority w:val="99"/>
    <w:rsid w:val="00574ADA"/>
    <w:rPr>
      <w:sz w:val="20"/>
      <w:szCs w:val="20"/>
    </w:rPr>
  </w:style>
  <w:style w:type="paragraph" w:styleId="a7">
    <w:name w:val="footer"/>
    <w:basedOn w:val="a"/>
    <w:link w:val="a8"/>
    <w:uiPriority w:val="99"/>
    <w:unhideWhenUsed/>
    <w:rsid w:val="00574ADA"/>
    <w:pPr>
      <w:tabs>
        <w:tab w:val="center" w:pos="4153"/>
        <w:tab w:val="right" w:pos="8306"/>
      </w:tabs>
      <w:snapToGrid w:val="0"/>
    </w:pPr>
    <w:rPr>
      <w:sz w:val="20"/>
      <w:szCs w:val="20"/>
    </w:rPr>
  </w:style>
  <w:style w:type="character" w:customStyle="1" w:styleId="a8">
    <w:name w:val="頁尾 字元"/>
    <w:basedOn w:val="a0"/>
    <w:link w:val="a7"/>
    <w:uiPriority w:val="99"/>
    <w:rsid w:val="00574ADA"/>
    <w:rPr>
      <w:sz w:val="20"/>
      <w:szCs w:val="20"/>
    </w:rPr>
  </w:style>
  <w:style w:type="character" w:styleId="a9">
    <w:name w:val="Placeholder Text"/>
    <w:basedOn w:val="a0"/>
    <w:uiPriority w:val="99"/>
    <w:semiHidden/>
    <w:rsid w:val="00574ADA"/>
    <w:rPr>
      <w:color w:val="808080"/>
    </w:rPr>
  </w:style>
  <w:style w:type="paragraph" w:styleId="aa">
    <w:name w:val="Balloon Text"/>
    <w:basedOn w:val="a"/>
    <w:link w:val="ab"/>
    <w:uiPriority w:val="99"/>
    <w:semiHidden/>
    <w:unhideWhenUsed/>
    <w:rsid w:val="00574ADA"/>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4ADA"/>
    <w:rPr>
      <w:rFonts w:asciiTheme="majorHAnsi" w:eastAsiaTheme="majorEastAsia" w:hAnsiTheme="majorHAnsi" w:cstheme="majorBidi"/>
      <w:sz w:val="18"/>
      <w:szCs w:val="18"/>
    </w:rPr>
  </w:style>
  <w:style w:type="table" w:styleId="ac">
    <w:name w:val="Table Grid"/>
    <w:basedOn w:val="a1"/>
    <w:uiPriority w:val="59"/>
    <w:rsid w:val="00A91E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D61839"/>
    <w:pPr>
      <w:ind w:leftChars="200" w:left="480"/>
    </w:pPr>
  </w:style>
  <w:style w:type="paragraph" w:customStyle="1" w:styleId="DefinitionTerm">
    <w:name w:val="Definition Term"/>
    <w:basedOn w:val="a"/>
    <w:next w:val="a"/>
    <w:rsid w:val="007F481A"/>
    <w:pPr>
      <w:keepNext/>
      <w:keepLines/>
      <w:pBdr>
        <w:top w:val="none" w:sz="0" w:space="0" w:color="auto"/>
        <w:left w:val="none" w:sz="0" w:space="0" w:color="auto"/>
        <w:bottom w:val="none" w:sz="0" w:space="0" w:color="auto"/>
        <w:right w:val="none" w:sz="0" w:space="0" w:color="auto"/>
        <w:between w:val="none" w:sz="0" w:space="0" w:color="auto"/>
      </w:pBdr>
      <w:spacing w:line="240" w:lineRule="auto"/>
    </w:pPr>
    <w:rPr>
      <w:rFonts w:ascii="Cambria" w:eastAsia="新細明體" w:hAnsi="Cambria" w:cs="Times New Roman"/>
      <w:b/>
      <w:color w:val="auto"/>
      <w:sz w:val="24"/>
      <w:szCs w:val="24"/>
      <w:lang w:eastAsia="en-US"/>
    </w:rPr>
  </w:style>
  <w:style w:type="paragraph" w:styleId="Web">
    <w:name w:val="Normal (Web)"/>
    <w:basedOn w:val="a"/>
    <w:uiPriority w:val="99"/>
    <w:unhideWhenUsed/>
    <w:rsid w:val="00D0338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eastAsia="新細明體" w:hAnsi="新細明體" w:cs="新細明體"/>
      <w:color w:val="auto"/>
      <w:sz w:val="24"/>
      <w:szCs w:val="24"/>
    </w:rPr>
  </w:style>
  <w:style w:type="paragraph" w:customStyle="1" w:styleId="Compact">
    <w:name w:val="Compact"/>
    <w:basedOn w:val="ae"/>
    <w:qFormat/>
    <w:rsid w:val="00B24E83"/>
    <w:pPr>
      <w:pBdr>
        <w:top w:val="none" w:sz="0" w:space="0" w:color="auto"/>
        <w:left w:val="none" w:sz="0" w:space="0" w:color="auto"/>
        <w:bottom w:val="none" w:sz="0" w:space="0" w:color="auto"/>
        <w:right w:val="none" w:sz="0" w:space="0" w:color="auto"/>
        <w:between w:val="none" w:sz="0" w:space="0" w:color="auto"/>
      </w:pBdr>
      <w:spacing w:before="36" w:after="36" w:line="240" w:lineRule="auto"/>
    </w:pPr>
    <w:rPr>
      <w:rFonts w:ascii="Cambria" w:eastAsia="新細明體" w:hAnsi="Cambria" w:cs="Times New Roman"/>
      <w:color w:val="auto"/>
      <w:sz w:val="24"/>
      <w:szCs w:val="24"/>
      <w:lang w:val="x-none" w:eastAsia="en-US"/>
    </w:rPr>
  </w:style>
  <w:style w:type="paragraph" w:customStyle="1" w:styleId="TableCaption">
    <w:name w:val="Table Caption"/>
    <w:basedOn w:val="af"/>
    <w:rsid w:val="00B24E83"/>
    <w:pPr>
      <w:keepNext/>
      <w:pBdr>
        <w:top w:val="none" w:sz="0" w:space="0" w:color="auto"/>
        <w:left w:val="none" w:sz="0" w:space="0" w:color="auto"/>
        <w:bottom w:val="none" w:sz="0" w:space="0" w:color="auto"/>
        <w:right w:val="none" w:sz="0" w:space="0" w:color="auto"/>
        <w:between w:val="none" w:sz="0" w:space="0" w:color="auto"/>
      </w:pBdr>
      <w:spacing w:after="120" w:line="240" w:lineRule="auto"/>
    </w:pPr>
    <w:rPr>
      <w:rFonts w:ascii="Cambria" w:eastAsia="新細明體" w:hAnsi="Cambria" w:cs="Times New Roman"/>
      <w:i/>
      <w:color w:val="auto"/>
      <w:sz w:val="24"/>
      <w:szCs w:val="24"/>
      <w:lang w:eastAsia="en-US"/>
    </w:rPr>
  </w:style>
  <w:style w:type="paragraph" w:styleId="ae">
    <w:name w:val="Body Text"/>
    <w:basedOn w:val="a"/>
    <w:link w:val="af0"/>
    <w:uiPriority w:val="99"/>
    <w:semiHidden/>
    <w:unhideWhenUsed/>
    <w:rsid w:val="00B24E83"/>
    <w:pPr>
      <w:spacing w:after="120"/>
    </w:pPr>
  </w:style>
  <w:style w:type="character" w:customStyle="1" w:styleId="af0">
    <w:name w:val="本文 字元"/>
    <w:basedOn w:val="a0"/>
    <w:link w:val="ae"/>
    <w:uiPriority w:val="99"/>
    <w:semiHidden/>
    <w:rsid w:val="00B24E83"/>
  </w:style>
  <w:style w:type="paragraph" w:styleId="af">
    <w:name w:val="caption"/>
    <w:basedOn w:val="a"/>
    <w:next w:val="a"/>
    <w:uiPriority w:val="35"/>
    <w:semiHidden/>
    <w:unhideWhenUsed/>
    <w:qFormat/>
    <w:rsid w:val="00B24E83"/>
    <w:rPr>
      <w:sz w:val="20"/>
      <w:szCs w:val="20"/>
    </w:rPr>
  </w:style>
  <w:style w:type="paragraph" w:styleId="10">
    <w:name w:val="toc 1"/>
    <w:basedOn w:val="a"/>
    <w:next w:val="a"/>
    <w:autoRedefine/>
    <w:uiPriority w:val="39"/>
    <w:unhideWhenUsed/>
    <w:rsid w:val="00F37A9E"/>
  </w:style>
  <w:style w:type="paragraph" w:styleId="20">
    <w:name w:val="toc 2"/>
    <w:basedOn w:val="a"/>
    <w:next w:val="a"/>
    <w:autoRedefine/>
    <w:uiPriority w:val="39"/>
    <w:unhideWhenUsed/>
    <w:rsid w:val="00F37A9E"/>
    <w:pPr>
      <w:ind w:leftChars="200" w:left="480"/>
    </w:pPr>
  </w:style>
  <w:style w:type="paragraph" w:styleId="30">
    <w:name w:val="toc 3"/>
    <w:basedOn w:val="a"/>
    <w:next w:val="a"/>
    <w:autoRedefine/>
    <w:uiPriority w:val="39"/>
    <w:unhideWhenUsed/>
    <w:rsid w:val="00F37A9E"/>
    <w:pPr>
      <w:ind w:leftChars="400" w:left="960"/>
    </w:pPr>
  </w:style>
  <w:style w:type="paragraph" w:styleId="40">
    <w:name w:val="toc 4"/>
    <w:basedOn w:val="a"/>
    <w:next w:val="a"/>
    <w:autoRedefine/>
    <w:uiPriority w:val="39"/>
    <w:unhideWhenUsed/>
    <w:rsid w:val="00F37A9E"/>
    <w:pPr>
      <w:ind w:leftChars="600" w:left="1440"/>
    </w:pPr>
  </w:style>
  <w:style w:type="paragraph" w:styleId="50">
    <w:name w:val="toc 5"/>
    <w:basedOn w:val="a"/>
    <w:next w:val="a"/>
    <w:autoRedefine/>
    <w:uiPriority w:val="39"/>
    <w:unhideWhenUsed/>
    <w:rsid w:val="00F37A9E"/>
    <w:pPr>
      <w:ind w:leftChars="800" w:left="1920"/>
    </w:pPr>
  </w:style>
  <w:style w:type="paragraph" w:styleId="60">
    <w:name w:val="toc 6"/>
    <w:basedOn w:val="a"/>
    <w:next w:val="a"/>
    <w:autoRedefine/>
    <w:uiPriority w:val="39"/>
    <w:unhideWhenUsed/>
    <w:rsid w:val="00F37A9E"/>
    <w:pPr>
      <w:ind w:leftChars="1000" w:left="2400"/>
    </w:pPr>
  </w:style>
  <w:style w:type="paragraph" w:styleId="7">
    <w:name w:val="toc 7"/>
    <w:basedOn w:val="a"/>
    <w:next w:val="a"/>
    <w:autoRedefine/>
    <w:uiPriority w:val="39"/>
    <w:unhideWhenUsed/>
    <w:rsid w:val="00F37A9E"/>
    <w:pPr>
      <w:ind w:leftChars="1200" w:left="2880"/>
    </w:pPr>
  </w:style>
  <w:style w:type="paragraph" w:styleId="8">
    <w:name w:val="toc 8"/>
    <w:basedOn w:val="a"/>
    <w:next w:val="a"/>
    <w:autoRedefine/>
    <w:uiPriority w:val="39"/>
    <w:unhideWhenUsed/>
    <w:rsid w:val="00F37A9E"/>
    <w:pPr>
      <w:ind w:leftChars="1400" w:left="3360"/>
    </w:pPr>
  </w:style>
  <w:style w:type="paragraph" w:styleId="9">
    <w:name w:val="toc 9"/>
    <w:basedOn w:val="a"/>
    <w:next w:val="a"/>
    <w:autoRedefine/>
    <w:uiPriority w:val="39"/>
    <w:unhideWhenUsed/>
    <w:rsid w:val="00F37A9E"/>
    <w:pPr>
      <w:ind w:leftChars="1600" w:left="3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5450">
      <w:bodyDiv w:val="1"/>
      <w:marLeft w:val="0"/>
      <w:marRight w:val="0"/>
      <w:marTop w:val="0"/>
      <w:marBottom w:val="0"/>
      <w:divBdr>
        <w:top w:val="none" w:sz="0" w:space="0" w:color="auto"/>
        <w:left w:val="none" w:sz="0" w:space="0" w:color="auto"/>
        <w:bottom w:val="none" w:sz="0" w:space="0" w:color="auto"/>
        <w:right w:val="none" w:sz="0" w:space="0" w:color="auto"/>
      </w:divBdr>
    </w:div>
    <w:div w:id="341519770">
      <w:bodyDiv w:val="1"/>
      <w:marLeft w:val="0"/>
      <w:marRight w:val="0"/>
      <w:marTop w:val="0"/>
      <w:marBottom w:val="0"/>
      <w:divBdr>
        <w:top w:val="none" w:sz="0" w:space="0" w:color="auto"/>
        <w:left w:val="none" w:sz="0" w:space="0" w:color="auto"/>
        <w:bottom w:val="none" w:sz="0" w:space="0" w:color="auto"/>
        <w:right w:val="none" w:sz="0" w:space="0" w:color="auto"/>
      </w:divBdr>
    </w:div>
    <w:div w:id="703864368">
      <w:bodyDiv w:val="1"/>
      <w:marLeft w:val="0"/>
      <w:marRight w:val="0"/>
      <w:marTop w:val="0"/>
      <w:marBottom w:val="0"/>
      <w:divBdr>
        <w:top w:val="none" w:sz="0" w:space="0" w:color="auto"/>
        <w:left w:val="none" w:sz="0" w:space="0" w:color="auto"/>
        <w:bottom w:val="none" w:sz="0" w:space="0" w:color="auto"/>
        <w:right w:val="none" w:sz="0" w:space="0" w:color="auto"/>
      </w:divBdr>
      <w:divsChild>
        <w:div w:id="70590383">
          <w:marLeft w:val="0"/>
          <w:marRight w:val="0"/>
          <w:marTop w:val="0"/>
          <w:marBottom w:val="0"/>
          <w:divBdr>
            <w:top w:val="none" w:sz="0" w:space="0" w:color="auto"/>
            <w:left w:val="none" w:sz="0" w:space="0" w:color="auto"/>
            <w:bottom w:val="none" w:sz="0" w:space="0" w:color="auto"/>
            <w:right w:val="none" w:sz="0" w:space="0" w:color="auto"/>
          </w:divBdr>
        </w:div>
        <w:div w:id="295375906">
          <w:marLeft w:val="0"/>
          <w:marRight w:val="0"/>
          <w:marTop w:val="0"/>
          <w:marBottom w:val="0"/>
          <w:divBdr>
            <w:top w:val="none" w:sz="0" w:space="0" w:color="auto"/>
            <w:left w:val="none" w:sz="0" w:space="0" w:color="auto"/>
            <w:bottom w:val="none" w:sz="0" w:space="0" w:color="auto"/>
            <w:right w:val="none" w:sz="0" w:space="0" w:color="auto"/>
          </w:divBdr>
        </w:div>
        <w:div w:id="1808234192">
          <w:marLeft w:val="0"/>
          <w:marRight w:val="0"/>
          <w:marTop w:val="0"/>
          <w:marBottom w:val="0"/>
          <w:divBdr>
            <w:top w:val="none" w:sz="0" w:space="0" w:color="auto"/>
            <w:left w:val="none" w:sz="0" w:space="0" w:color="auto"/>
            <w:bottom w:val="none" w:sz="0" w:space="0" w:color="auto"/>
            <w:right w:val="none" w:sz="0" w:space="0" w:color="auto"/>
          </w:divBdr>
        </w:div>
      </w:divsChild>
    </w:div>
    <w:div w:id="1141341279">
      <w:bodyDiv w:val="1"/>
      <w:marLeft w:val="0"/>
      <w:marRight w:val="0"/>
      <w:marTop w:val="0"/>
      <w:marBottom w:val="0"/>
      <w:divBdr>
        <w:top w:val="none" w:sz="0" w:space="0" w:color="auto"/>
        <w:left w:val="none" w:sz="0" w:space="0" w:color="auto"/>
        <w:bottom w:val="none" w:sz="0" w:space="0" w:color="auto"/>
        <w:right w:val="none" w:sz="0" w:space="0" w:color="auto"/>
      </w:divBdr>
    </w:div>
    <w:div w:id="1221789323">
      <w:bodyDiv w:val="1"/>
      <w:marLeft w:val="0"/>
      <w:marRight w:val="0"/>
      <w:marTop w:val="0"/>
      <w:marBottom w:val="0"/>
      <w:divBdr>
        <w:top w:val="none" w:sz="0" w:space="0" w:color="auto"/>
        <w:left w:val="none" w:sz="0" w:space="0" w:color="auto"/>
        <w:bottom w:val="none" w:sz="0" w:space="0" w:color="auto"/>
        <w:right w:val="none" w:sz="0" w:space="0" w:color="auto"/>
      </w:divBdr>
    </w:div>
    <w:div w:id="1397777598">
      <w:bodyDiv w:val="1"/>
      <w:marLeft w:val="0"/>
      <w:marRight w:val="0"/>
      <w:marTop w:val="0"/>
      <w:marBottom w:val="0"/>
      <w:divBdr>
        <w:top w:val="none" w:sz="0" w:space="0" w:color="auto"/>
        <w:left w:val="none" w:sz="0" w:space="0" w:color="auto"/>
        <w:bottom w:val="none" w:sz="0" w:space="0" w:color="auto"/>
        <w:right w:val="none" w:sz="0" w:space="0" w:color="auto"/>
      </w:divBdr>
      <w:divsChild>
        <w:div w:id="919295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B42F9-B5B0-45DA-83EE-1DA5F9DF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7</Pages>
  <Words>1975</Words>
  <Characters>11264</Characters>
  <Application>Microsoft Office Word</Application>
  <DocSecurity>0</DocSecurity>
  <Lines>93</Lines>
  <Paragraphs>26</Paragraphs>
  <ScaleCrop>false</ScaleCrop>
  <Company>Hewlett-Packard Company</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賴柏廷</dc:creator>
  <cp:lastModifiedBy>賴柏廷</cp:lastModifiedBy>
  <cp:revision>33</cp:revision>
  <dcterms:created xsi:type="dcterms:W3CDTF">2017-10-07T02:56:00Z</dcterms:created>
  <dcterms:modified xsi:type="dcterms:W3CDTF">2019-03-06T03:34:00Z</dcterms:modified>
</cp:coreProperties>
</file>